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9C6C" w14:textId="37D1D311" w:rsidR="00C34509" w:rsidRPr="00790661" w:rsidRDefault="00C34509" w:rsidP="00FD0ED9">
      <w:pPr>
        <w:pStyle w:val="AnaBaslik"/>
      </w:pPr>
      <w:r w:rsidRPr="00790661">
        <w:t>INTEGRAT</w:t>
      </w:r>
      <w:r w:rsidR="00433829">
        <w:t>I</w:t>
      </w:r>
      <w:r w:rsidRPr="00790661">
        <w:t xml:space="preserve">NG EDUCATIONAL TECHNOLOGY </w:t>
      </w:r>
      <w:r w:rsidRPr="00790661">
        <w:rPr>
          <w:highlight w:val="yellow"/>
        </w:rPr>
        <w:t>TITLE OF PROCEEDING</w:t>
      </w:r>
    </w:p>
    <w:p w14:paraId="29A59B3A" w14:textId="77777777" w:rsidR="00C34509" w:rsidRPr="00790661" w:rsidRDefault="00C34509" w:rsidP="00433829">
      <w:pPr>
        <w:pStyle w:val="dzMetinTimes11"/>
        <w:jc w:val="center"/>
      </w:pPr>
    </w:p>
    <w:p w14:paraId="5140B831" w14:textId="3A922FB1" w:rsidR="00C34509" w:rsidRPr="00790661" w:rsidRDefault="00C34509" w:rsidP="00433829">
      <w:pPr>
        <w:pStyle w:val="dzMetinTimes11"/>
        <w:jc w:val="center"/>
      </w:pPr>
      <w:r w:rsidRPr="00790661">
        <w:t>ID ###</w:t>
      </w:r>
    </w:p>
    <w:p w14:paraId="3AE70B83" w14:textId="0ADE1115" w:rsidR="00C34509" w:rsidRPr="00433829" w:rsidRDefault="00C34509" w:rsidP="00433829">
      <w:pPr>
        <w:pStyle w:val="dzMetinTimes11"/>
        <w:jc w:val="center"/>
        <w:rPr>
          <w:b/>
          <w:bCs/>
        </w:rPr>
      </w:pPr>
      <w:r w:rsidRPr="00433829">
        <w:rPr>
          <w:b/>
          <w:bCs/>
        </w:rPr>
        <w:t>First Author Full Name</w:t>
      </w:r>
    </w:p>
    <w:p w14:paraId="4CB18704" w14:textId="3D7E5F44" w:rsidR="00C34509" w:rsidRPr="00790661" w:rsidRDefault="00C34509" w:rsidP="00433829">
      <w:pPr>
        <w:pStyle w:val="dzMetinTimes11"/>
        <w:jc w:val="center"/>
      </w:pPr>
      <w:r w:rsidRPr="00790661">
        <w:t>Affiliation, Country</w:t>
      </w:r>
    </w:p>
    <w:p w14:paraId="519589E8" w14:textId="063A30C0" w:rsidR="00C34509" w:rsidRPr="00790661" w:rsidRDefault="00C34509" w:rsidP="00433829">
      <w:pPr>
        <w:pStyle w:val="dzMetinTimes11"/>
        <w:jc w:val="center"/>
      </w:pPr>
      <w:r w:rsidRPr="00790661">
        <w:t>ORCID: XXXX-YYYY-XXXX-YYYY</w:t>
      </w:r>
    </w:p>
    <w:p w14:paraId="70D860DF" w14:textId="77777777" w:rsidR="00C34509" w:rsidRPr="00790661" w:rsidRDefault="00C34509" w:rsidP="00433829">
      <w:pPr>
        <w:pStyle w:val="dzMetinTimes11"/>
        <w:jc w:val="center"/>
      </w:pPr>
    </w:p>
    <w:p w14:paraId="380931D0" w14:textId="1BF033C8" w:rsidR="00C34509" w:rsidRPr="00433829" w:rsidRDefault="00C34509" w:rsidP="00433829">
      <w:pPr>
        <w:pStyle w:val="dzMetinTimes11"/>
        <w:jc w:val="center"/>
        <w:rPr>
          <w:b/>
          <w:bCs/>
        </w:rPr>
      </w:pPr>
      <w:r w:rsidRPr="00433829">
        <w:rPr>
          <w:b/>
          <w:bCs/>
        </w:rPr>
        <w:t>Second Author Full Name</w:t>
      </w:r>
    </w:p>
    <w:p w14:paraId="6AE0323D" w14:textId="77777777" w:rsidR="00C34509" w:rsidRPr="00790661" w:rsidRDefault="00C34509" w:rsidP="00433829">
      <w:pPr>
        <w:pStyle w:val="dzMetinTimes11"/>
        <w:jc w:val="center"/>
      </w:pPr>
      <w:r w:rsidRPr="00790661">
        <w:t>Affiliation, Country</w:t>
      </w:r>
    </w:p>
    <w:p w14:paraId="35F431F7" w14:textId="77777777" w:rsidR="00C34509" w:rsidRPr="00790661" w:rsidRDefault="00C34509" w:rsidP="00433829">
      <w:pPr>
        <w:pStyle w:val="dzMetinTimes11"/>
        <w:jc w:val="center"/>
      </w:pPr>
      <w:r w:rsidRPr="00790661">
        <w:t>ORCID: XXXX-YYYY-XXXX-YYYY</w:t>
      </w:r>
    </w:p>
    <w:p w14:paraId="5B72FD1F" w14:textId="59DF6986" w:rsidR="00C34509" w:rsidRPr="00790661" w:rsidRDefault="00C34509" w:rsidP="00FD0ED9">
      <w:pPr>
        <w:pStyle w:val="dzMetinTimes11"/>
      </w:pPr>
    </w:p>
    <w:p w14:paraId="656576EF" w14:textId="77777777" w:rsidR="00C34509" w:rsidRPr="00790661" w:rsidRDefault="00C34509" w:rsidP="00C34509">
      <w:pPr>
        <w:widowControl w:val="0"/>
        <w:spacing w:before="6" w:after="0" w:line="276" w:lineRule="auto"/>
        <w:rPr>
          <w:rFonts w:ascii="Times New Roman" w:eastAsia="Times New Roman" w:hAnsi="Times New Roman" w:cs="Times New Roman"/>
          <w:lang w:val="en-GB"/>
        </w:rPr>
      </w:pPr>
    </w:p>
    <w:p w14:paraId="0090A584" w14:textId="77777777" w:rsidR="00C34509" w:rsidRPr="00433829" w:rsidRDefault="00C34509" w:rsidP="00433829">
      <w:pPr>
        <w:pStyle w:val="Balk1"/>
        <w:numPr>
          <w:ilvl w:val="0"/>
          <w:numId w:val="0"/>
        </w:numPr>
      </w:pPr>
      <w:r w:rsidRPr="00433829">
        <w:t>Abstract</w:t>
      </w:r>
    </w:p>
    <w:p w14:paraId="6A815175" w14:textId="2753D721" w:rsidR="00790661" w:rsidRPr="00790661" w:rsidRDefault="00790661" w:rsidP="00FD0ED9">
      <w:pPr>
        <w:pStyle w:val="dzMetinTimes11"/>
      </w:pPr>
      <w:r w:rsidRPr="00790661">
        <w:t>The integration of technology into modern educational frameworks has fundamentally reshaped how knowledge is transmitted, accessed, and evaluated. As digital tools transition from supplementary classroom aids to essential drivers of pedagogical transformation, educational institutions worldwide are actively re-evaluating traditional instructional paradigms. This abstract examines the multifaceted impact of modern educational technologies—ranging from artificial intelligence and adaptive learning platforms to cloud-based collaborative systems—on student engagement, academic performance, and instructional efficacy. A synthesis of contemporary literature demonstrates that technology-enhanced learning environments foster personalized pathways, enabling educators to accommodate diverse learning speeds, neurodivergent needs, and individual study preferences. Interactive simulations, gamified elements, and automated real-time feedback mechanisms significantly enhance learner motivation and knowledge retention. Furthermore, digital platforms dismantle long-standing geographical and socioeconomic barriers, offering unprecedented access to high-quality academic resources for non-traditional, lifelong, and remote learners. However, the rapid integration of technology in education introduces complex challenges. The digital divide remains a persistent concern, as disparities in hardware access and high-speed internet connectivity threaten to exacerbate existing educational inequalities. Additionally, the effective deployment of digital tools requires sustained professional development for educators to ensure technology enriches rather than distracts from core learning goals. Issues surrounding student data privacy, ethical artificial intelligence utilization, and cognitive overstimulation further complicate institutional adoption strategies.</w:t>
      </w:r>
      <w:r>
        <w:t xml:space="preserve"> </w:t>
      </w:r>
      <w:r w:rsidRPr="00790661">
        <w:t>Ultimately, technology serves not as a substitute for quality pedagogy, but as a powerful catalyst when integrated alongside sound instructional design. Future educational policy must prioritize equitable access, robust infrastructure, and continuous teacher support to fully realize the potential of digital learning. By balancing technological innovation with human-centered teaching, educators can construct inclusive, adaptable, and future-ready learning environments.</w:t>
      </w:r>
      <w:r w:rsidR="00433829">
        <w:t xml:space="preserve"> </w:t>
      </w:r>
      <w:r w:rsidR="00433829" w:rsidRPr="00433829">
        <w:rPr>
          <w:highlight w:val="yellow"/>
        </w:rPr>
        <w:t>Maximum 300 words</w:t>
      </w:r>
    </w:p>
    <w:p w14:paraId="7E1EEAD7" w14:textId="77777777" w:rsidR="00790661" w:rsidRPr="00790661" w:rsidRDefault="00790661" w:rsidP="00FD0ED9">
      <w:pPr>
        <w:pStyle w:val="dzMetinTimes11"/>
      </w:pPr>
    </w:p>
    <w:p w14:paraId="1CF09C42" w14:textId="67FF700C" w:rsidR="00790661" w:rsidRPr="00790661" w:rsidRDefault="00790661" w:rsidP="00FD0ED9">
      <w:pPr>
        <w:pStyle w:val="dzMetinTimes11"/>
      </w:pPr>
      <w:r w:rsidRPr="00790661">
        <w:rPr>
          <w:b/>
          <w:bCs/>
        </w:rPr>
        <w:t>Keywords</w:t>
      </w:r>
      <w:r w:rsidRPr="00790661">
        <w:t>: Educational Technology, Digital Pedagogy, Adaptive Learning, Digital Divide, Student Engagement</w:t>
      </w:r>
      <w:r>
        <w:t xml:space="preserve">. </w:t>
      </w:r>
      <w:r w:rsidRPr="00790661">
        <w:rPr>
          <w:highlight w:val="yellow"/>
        </w:rPr>
        <w:t>At least 3 at most 5 key words</w:t>
      </w:r>
    </w:p>
    <w:p w14:paraId="55A76073" w14:textId="0023CB13" w:rsidR="00C34509" w:rsidRPr="00790661" w:rsidRDefault="00C34509" w:rsidP="00FD0ED9">
      <w:pPr>
        <w:pStyle w:val="dzMetinTimes11"/>
      </w:pPr>
      <w:r w:rsidRPr="00790661">
        <w:t>.</w:t>
      </w:r>
    </w:p>
    <w:p w14:paraId="112BF8C4" w14:textId="77777777" w:rsidR="00C34509" w:rsidRPr="00790661" w:rsidRDefault="00C34509" w:rsidP="00FD0ED9">
      <w:pPr>
        <w:pStyle w:val="dzMetinTimes11"/>
        <w:rPr>
          <w:highlight w:val="yellow"/>
        </w:rPr>
      </w:pPr>
    </w:p>
    <w:p w14:paraId="5EF33AA3" w14:textId="0C6AE842" w:rsidR="00C34509" w:rsidRPr="00790661" w:rsidRDefault="00C34509" w:rsidP="00FD0ED9">
      <w:pPr>
        <w:pStyle w:val="Balk1"/>
      </w:pPr>
      <w:r w:rsidRPr="00790661">
        <w:t>Introduction</w:t>
      </w:r>
    </w:p>
    <w:p w14:paraId="574040BB" w14:textId="77777777" w:rsidR="000F2E8C" w:rsidRPr="000F2E8C" w:rsidRDefault="000F2E8C" w:rsidP="00FD0ED9">
      <w:pPr>
        <w:pStyle w:val="dzMetinTimes11"/>
      </w:pPr>
      <w:r w:rsidRPr="000F2E8C">
        <w:t xml:space="preserve">The rapid evolution of information and communication technologies (ICT) over the past two decades has initiated a profound paradigm shift across global higher education and K-12 systems. Historically, digital technology in the classroom was limited to supplementary administrative tools or localized hardware; today, it serves as the foundational infrastructure for teaching, assessment, and curriculum development. Modern educational settings increasingly rely on cloud-enabled learning management </w:t>
      </w:r>
      <w:r w:rsidRPr="000F2E8C">
        <w:lastRenderedPageBreak/>
        <w:t>systems (LMS), artificial intelligence (AI), dynamic simulations, and data analytics to optimize pedagogical practices.</w:t>
      </w:r>
    </w:p>
    <w:p w14:paraId="57001E46" w14:textId="77777777" w:rsidR="000F2E8C" w:rsidRPr="000F2E8C" w:rsidRDefault="000F2E8C" w:rsidP="00FD0ED9">
      <w:pPr>
        <w:pStyle w:val="dzMetinTimes11"/>
      </w:pPr>
    </w:p>
    <w:p w14:paraId="40E97436" w14:textId="3A964330" w:rsidR="00C34509" w:rsidRDefault="000F2E8C" w:rsidP="00FD0ED9">
      <w:pPr>
        <w:pStyle w:val="dzMetinTimes11"/>
      </w:pPr>
      <w:r w:rsidRPr="000F2E8C">
        <w:t>Despite these advancements, the systemic integration of technology into educational ecosystems presents both transformative opportunities and critical challenges. While digital platforms offer unprecedented flexibility, interactive engagement, and pathways toward personalized instruction, they also expose underlying institutional limitations. Issues ranging from unequal internet infrastructure to insufficient teacher preparation and data privacy concerns threaten the equitable distribution of these digital benefits. Consequently, understanding how technology intersects with instructional design and learning outcomes is essential for building resilient, future-oriented educational frameworks. This paper explores the multidimensional impacts of technology on contemporary education, evaluating its influence on instructional efficacy, student engagement,</w:t>
      </w:r>
    </w:p>
    <w:p w14:paraId="583C4669" w14:textId="77777777" w:rsidR="000F2E8C" w:rsidRPr="00790661" w:rsidRDefault="000F2E8C" w:rsidP="00FD0ED9">
      <w:pPr>
        <w:pStyle w:val="dzMetinTimes11"/>
      </w:pPr>
    </w:p>
    <w:p w14:paraId="571C202B" w14:textId="324799CF" w:rsidR="00C34509" w:rsidRPr="00790661" w:rsidRDefault="00C34509" w:rsidP="00FD0ED9">
      <w:pPr>
        <w:pStyle w:val="Balk1"/>
      </w:pPr>
      <w:r w:rsidRPr="00790661">
        <w:t>Literature Review</w:t>
      </w:r>
    </w:p>
    <w:p w14:paraId="5D7C9968" w14:textId="77777777" w:rsidR="000F2E8C" w:rsidRPr="000F2E8C" w:rsidRDefault="000F2E8C" w:rsidP="00FD0ED9">
      <w:pPr>
        <w:pStyle w:val="dzMetinTimes11"/>
      </w:pPr>
      <w:r w:rsidRPr="000F2E8C">
        <w:t xml:space="preserve">The body of scholarly work concerning educational technology spans several theoretical frameworks and empirical dimensions. To evaluate the current state of technology in education, existing literature can be </w:t>
      </w:r>
      <w:r w:rsidRPr="00FD0ED9">
        <w:t>organized</w:t>
      </w:r>
      <w:r w:rsidRPr="000F2E8C">
        <w:t xml:space="preserve"> into three thematic pillars: pedagogical transformation, digital equity, and structural implementation challenges.</w:t>
      </w:r>
    </w:p>
    <w:p w14:paraId="10160A2B" w14:textId="77777777" w:rsidR="000F2E8C" w:rsidRPr="000F2E8C" w:rsidRDefault="000F2E8C" w:rsidP="00FD0ED9">
      <w:pPr>
        <w:pStyle w:val="dzMetinTimes11"/>
      </w:pPr>
    </w:p>
    <w:p w14:paraId="3890CFDD" w14:textId="06B101AF" w:rsidR="000F2E8C" w:rsidRPr="000F2E8C" w:rsidRDefault="000F2E8C" w:rsidP="00FD0ED9">
      <w:pPr>
        <w:pStyle w:val="Balk2"/>
      </w:pPr>
      <w:r w:rsidRPr="000F2E8C">
        <w:t>Pedagogical Transformation and Adaptive Learning</w:t>
      </w:r>
    </w:p>
    <w:p w14:paraId="26832CA0" w14:textId="55DDAF02" w:rsidR="000F2E8C" w:rsidRPr="000F2E8C" w:rsidRDefault="000F2E8C" w:rsidP="00FD0ED9">
      <w:pPr>
        <w:pStyle w:val="dzMetinTimes11"/>
      </w:pPr>
      <w:r w:rsidRPr="000F2E8C">
        <w:t>Contemporary educational literature heavily emphasizes the transition from passive, instructor-</w:t>
      </w:r>
      <w:r w:rsidR="00433829" w:rsidRPr="000F2E8C">
        <w:t>cantered</w:t>
      </w:r>
      <w:r w:rsidRPr="000F2E8C">
        <w:t xml:space="preserve"> models to active, student-</w:t>
      </w:r>
      <w:r w:rsidR="00433829" w:rsidRPr="000F2E8C">
        <w:t>cantered</w:t>
      </w:r>
      <w:r w:rsidRPr="000F2E8C">
        <w:t xml:space="preserve"> learning environments. Building upon foundational theories of constructivism and connectivism (Siemens, 2005), researchers highlight how modern software tools empower students to construct knowledge through collaborative and self-directed exploration.</w:t>
      </w:r>
    </w:p>
    <w:p w14:paraId="1153B9B7" w14:textId="77777777" w:rsidR="000F2E8C" w:rsidRPr="000F2E8C" w:rsidRDefault="000F2E8C" w:rsidP="00FD0ED9">
      <w:pPr>
        <w:pStyle w:val="dzMetinTimes11"/>
      </w:pPr>
    </w:p>
    <w:p w14:paraId="54084ED0" w14:textId="2AA25FFC" w:rsidR="000F2E8C" w:rsidRPr="000F2E8C" w:rsidRDefault="000F2E8C" w:rsidP="00FD0ED9">
      <w:pPr>
        <w:pStyle w:val="dzMetinTimes11"/>
      </w:pPr>
      <w:r w:rsidRPr="000F2E8C">
        <w:t xml:space="preserve">Recent studies on adaptive learning systems demonstrate that AI-driven software can </w:t>
      </w:r>
      <w:r w:rsidR="00433829" w:rsidRPr="000F2E8C">
        <w:t>analyse</w:t>
      </w:r>
      <w:r w:rsidRPr="000F2E8C">
        <w:t xml:space="preserve"> individual student progress in real time, adjusting content difficulty and instructional pacing to match individual cognitive profiles. Furthermore, the integration of gamified mechanics and interactive simulations has been consistently linked to elevated levels of intrinsic motivation, conceptual retention, and active problem-solving skills across STEM and humanities disciplines alike.</w:t>
      </w:r>
    </w:p>
    <w:p w14:paraId="5DC45747" w14:textId="77777777" w:rsidR="000F2E8C" w:rsidRPr="000F2E8C" w:rsidRDefault="000F2E8C" w:rsidP="00FD0ED9">
      <w:pPr>
        <w:pStyle w:val="dzMetinTimes11"/>
      </w:pPr>
    </w:p>
    <w:p w14:paraId="50553734" w14:textId="219CADE8" w:rsidR="000F2E8C" w:rsidRPr="000F2E8C" w:rsidRDefault="000F2E8C" w:rsidP="00FD0ED9">
      <w:pPr>
        <w:pStyle w:val="Balk2"/>
      </w:pPr>
      <w:r w:rsidRPr="000F2E8C">
        <w:t>Access, Inclusivity, and the Digital Divide</w:t>
      </w:r>
    </w:p>
    <w:p w14:paraId="70339BC1" w14:textId="77777777" w:rsidR="000F2E8C" w:rsidRPr="000F2E8C" w:rsidRDefault="000F2E8C" w:rsidP="00FD0ED9">
      <w:pPr>
        <w:pStyle w:val="dzMetinTimes11"/>
      </w:pPr>
      <w:r w:rsidRPr="000F2E8C">
        <w:t>While the theoretical advantages of technology-enhanced learning are well-documented, scholars emphasize that these benefits are unevenly distributed. The concept of the "digital divide" has evolved from simple hardware availability to a complex matrix encompassing bandwidth quality, digital literacy, and socioeconomic context.</w:t>
      </w:r>
    </w:p>
    <w:p w14:paraId="06EB4177" w14:textId="77777777" w:rsidR="000F2E8C" w:rsidRPr="000F2E8C" w:rsidRDefault="000F2E8C" w:rsidP="00FD0ED9">
      <w:pPr>
        <w:pStyle w:val="dzMetinTimes11"/>
      </w:pPr>
    </w:p>
    <w:p w14:paraId="0A3B1992" w14:textId="77777777" w:rsidR="000F2E8C" w:rsidRPr="000F2E8C" w:rsidRDefault="000F2E8C" w:rsidP="00FD0ED9">
      <w:pPr>
        <w:pStyle w:val="dzMetinTimes11"/>
      </w:pPr>
      <w:r w:rsidRPr="000F2E8C">
        <w:t>Research indicates that students in under-resourced or rural regions often face persistent connectivity deficits, which severely constrain their ability to participate in asynchronous or media-heavy learning environments. Consequently, recent literature calls for "digital equity frameworks" that prioritize open educational resources (OER), mobile-friendly content delivery, and hardware subsidies to prevent technological adoption from widening existing achievement gaps.</w:t>
      </w:r>
    </w:p>
    <w:p w14:paraId="1850B761" w14:textId="77777777" w:rsidR="000F2E8C" w:rsidRPr="000F2E8C" w:rsidRDefault="000F2E8C" w:rsidP="00FD0ED9">
      <w:pPr>
        <w:pStyle w:val="dzMetinTimes11"/>
      </w:pPr>
    </w:p>
    <w:p w14:paraId="6B97C6B3" w14:textId="10232938" w:rsidR="000F2E8C" w:rsidRPr="000F2E8C" w:rsidRDefault="000F2E8C" w:rsidP="00FD0ED9">
      <w:pPr>
        <w:pStyle w:val="Balk2"/>
      </w:pPr>
      <w:r w:rsidRPr="000F2E8C">
        <w:t>Teacher Preparedness and Structural Integration</w:t>
      </w:r>
    </w:p>
    <w:p w14:paraId="38AE9F4A" w14:textId="77777777" w:rsidR="000F2E8C" w:rsidRPr="000F2E8C" w:rsidRDefault="000F2E8C" w:rsidP="00FD0ED9">
      <w:pPr>
        <w:pStyle w:val="dzMetinTimes11"/>
      </w:pPr>
      <w:r w:rsidRPr="000F2E8C">
        <w:t>A significant branch of literature focuses on the technological pedagogical content knowledge (TPACK) framework, which posits that effective technology integration requires a balanced synergy of technological skill, pedagogical expertise, and subject-matter knowledge.</w:t>
      </w:r>
    </w:p>
    <w:p w14:paraId="1E21A0D8" w14:textId="77777777" w:rsidR="000F2E8C" w:rsidRPr="000F2E8C" w:rsidRDefault="000F2E8C" w:rsidP="00FD0ED9">
      <w:pPr>
        <w:pStyle w:val="dzMetinTimes11"/>
      </w:pPr>
    </w:p>
    <w:p w14:paraId="16796485" w14:textId="0B243279" w:rsidR="00C34509" w:rsidRDefault="000F2E8C" w:rsidP="00FD0ED9">
      <w:pPr>
        <w:pStyle w:val="dzMetinTimes11"/>
      </w:pPr>
      <w:r w:rsidRPr="000F2E8C">
        <w:lastRenderedPageBreak/>
        <w:t>Empirical findings show that simply introducing hardware or software into a classroom does not inherently improve learning outcomes. Instead, successful implementation depends heavily on sustained professional development for educators. Scholars repeatedly identify teacher resistance, lack of continuous technical support, and institutional inertia as primary barriers preventing digital tools from delivering on their pedagogical potential.</w:t>
      </w:r>
    </w:p>
    <w:p w14:paraId="49EF53FB" w14:textId="77777777" w:rsidR="000F2E8C" w:rsidRPr="00790661" w:rsidRDefault="000F2E8C" w:rsidP="00FD0ED9">
      <w:pPr>
        <w:pStyle w:val="dzMetinTimes11"/>
      </w:pPr>
    </w:p>
    <w:p w14:paraId="4A11F8F0" w14:textId="77777777" w:rsidR="00C34509" w:rsidRPr="00790661" w:rsidRDefault="00C34509" w:rsidP="00FD0ED9">
      <w:pPr>
        <w:pStyle w:val="Balk1"/>
      </w:pPr>
      <w:r w:rsidRPr="00790661">
        <w:t>Methodology</w:t>
      </w:r>
    </w:p>
    <w:p w14:paraId="7D50A06B" w14:textId="32B307CD" w:rsidR="00C34509" w:rsidRDefault="00631E18" w:rsidP="00FD0ED9">
      <w:pPr>
        <w:pStyle w:val="dzMetinTimes11"/>
      </w:pPr>
      <w:r w:rsidRPr="00631E18">
        <w:t>The study was conducted across four diverse higher education institutions during a full academic year. To ensure representative sampling, participants were selected using a stratified random sampling technique, encompassing diverse academic disciplines, socioeconomic backgrounds, and instructional formats (fully online, hybrid, and traditional in-person).Student Sample: $N = 650$ undergraduate students enrolled in introductory-level STEM and humanities courses.</w:t>
      </w:r>
      <w:r>
        <w:t xml:space="preserve"> </w:t>
      </w:r>
      <w:r w:rsidRPr="00631E18">
        <w:t>Faculty Sample: $N = 45$ university instructors representing varying levels of teaching experience and technological self-efficacy.4.2 Data Collection Instruments</w:t>
      </w:r>
      <w:r>
        <w:t xml:space="preserve"> </w:t>
      </w:r>
      <w:r w:rsidRPr="00631E18">
        <w:t>Data collection was structured into three sequential phases over a 16-week academic semester:</w:t>
      </w:r>
      <w:r>
        <w:t xml:space="preserve"> </w:t>
      </w:r>
      <w:r w:rsidRPr="00631E18">
        <w:t>Quantitative Performance Metrics: Pre- and post-intervention assessment scores were gathered to measure learning gain across control groups (traditional instruction) and experimental groups (technology-enhanced instruction using adaptive LMS platforms and real-time feedback tools).Student &amp; Faculty Surveys: Standardized 5-point Likert scale questionnaires were administered at the mid-point and end of the term. The survey evaluated user engagement, perceived usability, self-reported digital literacy, and structural access issues (e.g., home connectivity and device availability).</w:t>
      </w:r>
      <w:r>
        <w:t xml:space="preserve"> </w:t>
      </w:r>
      <w:r w:rsidRPr="00631E18">
        <w:t>Semi-Structured Interviews: In-depth, 45-minute interviews were conducted with a representative subset of faculty (n = 15) and students (n = 20). These sessions focused on qualitative nuances, such as instructional resistance, cognitive load, institutional support satisfaction, and individual learning adaptations.4.3 Data Analysis</w:t>
      </w:r>
      <w:r>
        <w:t xml:space="preserve"> </w:t>
      </w:r>
      <w:r w:rsidRPr="00631E18">
        <w:t>Quantitative data were analysed using statistical software (SPSS/R). Paired $t$-tests and Analysis of Covariance (ANCOVA) were performed to compare academic gains between control and experimental groups while controlling for baseline academic achievement. Survey reliability was established using Cronbach’s alpha ($\alpha &gt; 0.82$ across all subscales).</w:t>
      </w:r>
      <w:r>
        <w:t xml:space="preserve"> </w:t>
      </w:r>
      <w:r w:rsidRPr="00631E18">
        <w:t>Qualitative interview transcripts were transcribed, coded, and analysed using thematic analysis following Braun and Clarke’s framework. Open coding identified recurring themes related to pedagogical barriers, technological friction, and engagement drivers, which were subsequently triangulated with the quantitative survey outcomes to ensure validity.</w:t>
      </w:r>
      <w:r>
        <w:t xml:space="preserve"> </w:t>
      </w:r>
    </w:p>
    <w:p w14:paraId="240406DE" w14:textId="77777777" w:rsidR="00631E18" w:rsidRPr="00790661" w:rsidRDefault="00631E18" w:rsidP="00FD0ED9">
      <w:pPr>
        <w:pStyle w:val="dzMetinTimes11"/>
      </w:pPr>
    </w:p>
    <w:p w14:paraId="19272EB2" w14:textId="10021CD7" w:rsidR="00C34509" w:rsidRPr="00790661" w:rsidRDefault="00C34509" w:rsidP="00FD0ED9">
      <w:pPr>
        <w:pStyle w:val="Balk1"/>
      </w:pPr>
      <w:r w:rsidRPr="00790661">
        <w:t>Results / Findings</w:t>
      </w:r>
    </w:p>
    <w:p w14:paraId="0F372607" w14:textId="77777777" w:rsidR="00C34509" w:rsidRPr="00790661" w:rsidRDefault="00C34509" w:rsidP="00FD0ED9">
      <w:pPr>
        <w:pStyle w:val="dzMetinTimes11"/>
      </w:pPr>
      <w:r w:rsidRPr="00790661">
        <w:t>Approximately 200 participants responded to the survey. The results indicate generally positive feedback regarding the impact of gamification on learner engagement, motivation, and the overall training experience. Participants responded favorably to various aspects of the gamified training, with average scores across all questions consistently above 3.5 on a 5-point scale.</w:t>
      </w:r>
    </w:p>
    <w:p w14:paraId="51BA9955" w14:textId="77777777" w:rsidR="00C34509" w:rsidRPr="00790661" w:rsidRDefault="00C34509" w:rsidP="00FD0ED9">
      <w:pPr>
        <w:pStyle w:val="dzMetinTimes11"/>
      </w:pPr>
    </w:p>
    <w:p w14:paraId="7E9933F5" w14:textId="7985F211" w:rsidR="00C34509" w:rsidRPr="000F3004" w:rsidRDefault="00631E18" w:rsidP="00747DA7">
      <w:pPr>
        <w:pStyle w:val="TabloFigureSekilResimEtiketi"/>
        <w:rPr>
          <w:b w:val="0"/>
          <w:bCs/>
        </w:rPr>
      </w:pPr>
      <w:r w:rsidRPr="00747DA7">
        <w:t>Table 1</w:t>
      </w:r>
      <w:r w:rsidRPr="000F3004">
        <w:rPr>
          <w:b w:val="0"/>
          <w:bCs/>
        </w:rPr>
        <w:t xml:space="preserve">.  </w:t>
      </w:r>
      <w:r w:rsidR="00EE7CB4" w:rsidRPr="000F3004">
        <w:rPr>
          <w:b w:val="0"/>
          <w:bCs/>
        </w:rPr>
        <w:t>Sample Tabular Data</w:t>
      </w:r>
      <w:r w:rsidR="00C34509" w:rsidRPr="000F3004">
        <w:rPr>
          <w:b w:val="0"/>
          <w:bCs/>
        </w:rPr>
        <w:t>.</w:t>
      </w:r>
    </w:p>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1439"/>
        <w:gridCol w:w="1657"/>
        <w:gridCol w:w="1462"/>
        <w:gridCol w:w="975"/>
        <w:gridCol w:w="1474"/>
      </w:tblGrid>
      <w:tr w:rsidR="00631E18" w:rsidRPr="00631E18" w14:paraId="78BA092B" w14:textId="77777777" w:rsidTr="006A233B">
        <w:trPr>
          <w:trHeight w:val="794"/>
        </w:trPr>
        <w:tc>
          <w:tcPr>
            <w:tcW w:w="0" w:type="auto"/>
            <w:tcBorders>
              <w:bottom w:val="single" w:sz="4" w:space="0" w:color="auto"/>
            </w:tcBorders>
            <w:hideMark/>
          </w:tcPr>
          <w:p w14:paraId="2A0184C3" w14:textId="77777777" w:rsidR="00631E18" w:rsidRPr="006A233B" w:rsidRDefault="00631E18" w:rsidP="00631E18">
            <w:pPr>
              <w:rPr>
                <w:rFonts w:ascii="Times New Roman" w:eastAsia="Times New Roman" w:hAnsi="Times New Roman" w:cs="Times New Roman"/>
                <w:b/>
                <w:bCs/>
                <w:iCs/>
                <w:lang w:val="en-GB"/>
              </w:rPr>
            </w:pPr>
            <w:r w:rsidRPr="006A233B">
              <w:rPr>
                <w:rFonts w:ascii="Times New Roman" w:eastAsia="Times New Roman" w:hAnsi="Times New Roman" w:cs="Times New Roman"/>
                <w:b/>
                <w:bCs/>
                <w:iCs/>
                <w:lang w:val="en-GB"/>
              </w:rPr>
              <w:t>Metric / Variable</w:t>
            </w:r>
          </w:p>
        </w:tc>
        <w:tc>
          <w:tcPr>
            <w:tcW w:w="1439" w:type="dxa"/>
            <w:tcBorders>
              <w:bottom w:val="single" w:sz="4" w:space="0" w:color="auto"/>
            </w:tcBorders>
            <w:hideMark/>
          </w:tcPr>
          <w:p w14:paraId="174F034F" w14:textId="77777777" w:rsidR="00631E18" w:rsidRPr="006A233B" w:rsidRDefault="00631E18" w:rsidP="00631E18">
            <w:pPr>
              <w:rPr>
                <w:rFonts w:ascii="Times New Roman" w:eastAsia="Times New Roman" w:hAnsi="Times New Roman" w:cs="Times New Roman"/>
                <w:b/>
                <w:bCs/>
                <w:iCs/>
                <w:lang w:val="en-GB"/>
              </w:rPr>
            </w:pPr>
            <w:r w:rsidRPr="006A233B">
              <w:rPr>
                <w:rFonts w:ascii="Times New Roman" w:eastAsia="Times New Roman" w:hAnsi="Times New Roman" w:cs="Times New Roman"/>
                <w:b/>
                <w:bCs/>
                <w:iCs/>
                <w:lang w:val="en-GB"/>
              </w:rPr>
              <w:t>Control Group (n=325)</w:t>
            </w:r>
          </w:p>
        </w:tc>
        <w:tc>
          <w:tcPr>
            <w:tcW w:w="1657" w:type="dxa"/>
            <w:tcBorders>
              <w:bottom w:val="single" w:sz="4" w:space="0" w:color="auto"/>
            </w:tcBorders>
            <w:hideMark/>
          </w:tcPr>
          <w:p w14:paraId="4D3EB8B4" w14:textId="77777777" w:rsidR="00631E18" w:rsidRPr="006A233B" w:rsidRDefault="00631E18" w:rsidP="00631E18">
            <w:pPr>
              <w:rPr>
                <w:rFonts w:ascii="Times New Roman" w:eastAsia="Times New Roman" w:hAnsi="Times New Roman" w:cs="Times New Roman"/>
                <w:b/>
                <w:bCs/>
                <w:iCs/>
                <w:lang w:val="en-GB"/>
              </w:rPr>
            </w:pPr>
            <w:r w:rsidRPr="006A233B">
              <w:rPr>
                <w:rFonts w:ascii="Times New Roman" w:eastAsia="Times New Roman" w:hAnsi="Times New Roman" w:cs="Times New Roman"/>
                <w:b/>
                <w:bCs/>
                <w:iCs/>
                <w:lang w:val="en-GB"/>
              </w:rPr>
              <w:t>Experimental Group (n=325)</w:t>
            </w:r>
          </w:p>
        </w:tc>
        <w:tc>
          <w:tcPr>
            <w:tcW w:w="1462" w:type="dxa"/>
            <w:tcBorders>
              <w:bottom w:val="single" w:sz="4" w:space="0" w:color="auto"/>
            </w:tcBorders>
            <w:hideMark/>
          </w:tcPr>
          <w:p w14:paraId="7A40A468" w14:textId="77777777" w:rsidR="00631E18" w:rsidRPr="006A233B" w:rsidRDefault="00631E18" w:rsidP="00631E18">
            <w:pPr>
              <w:rPr>
                <w:rFonts w:ascii="Times New Roman" w:eastAsia="Times New Roman" w:hAnsi="Times New Roman" w:cs="Times New Roman"/>
                <w:b/>
                <w:bCs/>
                <w:iCs/>
                <w:lang w:val="en-GB"/>
              </w:rPr>
            </w:pPr>
            <w:r w:rsidRPr="006A233B">
              <w:rPr>
                <w:rFonts w:ascii="Times New Roman" w:eastAsia="Times New Roman" w:hAnsi="Times New Roman" w:cs="Times New Roman"/>
                <w:b/>
                <w:bCs/>
                <w:iCs/>
                <w:lang w:val="en-GB"/>
              </w:rPr>
              <w:t>Statistical Test (t / F)</w:t>
            </w:r>
          </w:p>
        </w:tc>
        <w:tc>
          <w:tcPr>
            <w:tcW w:w="965" w:type="dxa"/>
            <w:tcBorders>
              <w:bottom w:val="single" w:sz="4" w:space="0" w:color="auto"/>
            </w:tcBorders>
            <w:hideMark/>
          </w:tcPr>
          <w:p w14:paraId="1CF033E0" w14:textId="77777777" w:rsidR="00631E18" w:rsidRPr="006A233B" w:rsidRDefault="00631E18" w:rsidP="00631E18">
            <w:pPr>
              <w:rPr>
                <w:rFonts w:ascii="Times New Roman" w:eastAsia="Times New Roman" w:hAnsi="Times New Roman" w:cs="Times New Roman"/>
                <w:b/>
                <w:bCs/>
                <w:iCs/>
                <w:lang w:val="en-GB"/>
              </w:rPr>
            </w:pPr>
            <w:r w:rsidRPr="006A233B">
              <w:rPr>
                <w:rFonts w:ascii="Times New Roman" w:eastAsia="Times New Roman" w:hAnsi="Times New Roman" w:cs="Times New Roman"/>
                <w:b/>
                <w:bCs/>
                <w:iCs/>
                <w:lang w:val="en-GB"/>
              </w:rPr>
              <w:t>p-value</w:t>
            </w:r>
          </w:p>
        </w:tc>
        <w:tc>
          <w:tcPr>
            <w:tcW w:w="0" w:type="auto"/>
            <w:tcBorders>
              <w:bottom w:val="single" w:sz="4" w:space="0" w:color="auto"/>
            </w:tcBorders>
            <w:hideMark/>
          </w:tcPr>
          <w:p w14:paraId="4602E939" w14:textId="77777777" w:rsidR="00631E18" w:rsidRPr="006A233B" w:rsidRDefault="00631E18" w:rsidP="00631E18">
            <w:pPr>
              <w:rPr>
                <w:rFonts w:ascii="Times New Roman" w:eastAsia="Times New Roman" w:hAnsi="Times New Roman" w:cs="Times New Roman"/>
                <w:b/>
                <w:bCs/>
                <w:iCs/>
                <w:lang w:val="en-GB"/>
              </w:rPr>
            </w:pPr>
            <w:r w:rsidRPr="006A233B">
              <w:rPr>
                <w:rFonts w:ascii="Times New Roman" w:eastAsia="Times New Roman" w:hAnsi="Times New Roman" w:cs="Times New Roman"/>
                <w:b/>
                <w:bCs/>
                <w:iCs/>
                <w:lang w:val="en-GB"/>
              </w:rPr>
              <w:t>Effect Size (Cohen’s d / η2)</w:t>
            </w:r>
          </w:p>
        </w:tc>
      </w:tr>
      <w:tr w:rsidR="00631E18" w:rsidRPr="00631E18" w14:paraId="2D42CBED" w14:textId="77777777" w:rsidTr="006A233B">
        <w:trPr>
          <w:trHeight w:val="794"/>
        </w:trPr>
        <w:tc>
          <w:tcPr>
            <w:tcW w:w="0" w:type="auto"/>
            <w:tcBorders>
              <w:top w:val="single" w:sz="4" w:space="0" w:color="auto"/>
              <w:bottom w:val="single" w:sz="4" w:space="0" w:color="auto"/>
            </w:tcBorders>
            <w:hideMark/>
          </w:tcPr>
          <w:p w14:paraId="13FEB22E" w14:textId="77777777" w:rsidR="00631E18" w:rsidRPr="006A233B" w:rsidRDefault="00631E18" w:rsidP="00631E18">
            <w:pPr>
              <w:rPr>
                <w:rFonts w:ascii="Times New Roman" w:eastAsia="Times New Roman" w:hAnsi="Times New Roman" w:cs="Times New Roman"/>
                <w:iCs/>
                <w:lang w:val="en-GB"/>
              </w:rPr>
            </w:pPr>
            <w:r w:rsidRPr="006A233B">
              <w:rPr>
                <w:rFonts w:ascii="Times New Roman" w:eastAsia="Times New Roman" w:hAnsi="Times New Roman" w:cs="Times New Roman"/>
                <w:iCs/>
                <w:lang w:val="en-GB"/>
              </w:rPr>
              <w:t>Pre-Intervention Mean Score (%)</w:t>
            </w:r>
          </w:p>
        </w:tc>
        <w:tc>
          <w:tcPr>
            <w:tcW w:w="1439" w:type="dxa"/>
            <w:tcBorders>
              <w:top w:val="single" w:sz="4" w:space="0" w:color="auto"/>
              <w:bottom w:val="single" w:sz="4" w:space="0" w:color="auto"/>
            </w:tcBorders>
            <w:hideMark/>
          </w:tcPr>
          <w:p w14:paraId="2D06566B" w14:textId="2F7C91B8"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64.2±8.1</m:t>
                </m:r>
              </m:oMath>
            </m:oMathPara>
          </w:p>
        </w:tc>
        <w:tc>
          <w:tcPr>
            <w:tcW w:w="1657" w:type="dxa"/>
            <w:tcBorders>
              <w:top w:val="single" w:sz="4" w:space="0" w:color="auto"/>
              <w:bottom w:val="single" w:sz="4" w:space="0" w:color="auto"/>
            </w:tcBorders>
            <w:hideMark/>
          </w:tcPr>
          <w:p w14:paraId="672E1A30" w14:textId="41BDCA06"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63.8±8.4</m:t>
                </m:r>
              </m:oMath>
            </m:oMathPara>
          </w:p>
        </w:tc>
        <w:tc>
          <w:tcPr>
            <w:tcW w:w="1462" w:type="dxa"/>
            <w:tcBorders>
              <w:top w:val="single" w:sz="4" w:space="0" w:color="auto"/>
              <w:bottom w:val="single" w:sz="4" w:space="0" w:color="auto"/>
            </w:tcBorders>
            <w:hideMark/>
          </w:tcPr>
          <w:p w14:paraId="6EAFA30A" w14:textId="0A8E716F"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t=0.62</m:t>
                </m:r>
              </m:oMath>
            </m:oMathPara>
          </w:p>
        </w:tc>
        <w:tc>
          <w:tcPr>
            <w:tcW w:w="965" w:type="dxa"/>
            <w:tcBorders>
              <w:top w:val="single" w:sz="4" w:space="0" w:color="auto"/>
              <w:bottom w:val="single" w:sz="4" w:space="0" w:color="auto"/>
            </w:tcBorders>
            <w:hideMark/>
          </w:tcPr>
          <w:p w14:paraId="630E9D48" w14:textId="1C0C2D75"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0.536</m:t>
                </m:r>
              </m:oMath>
            </m:oMathPara>
          </w:p>
        </w:tc>
        <w:tc>
          <w:tcPr>
            <w:tcW w:w="0" w:type="auto"/>
            <w:tcBorders>
              <w:top w:val="single" w:sz="4" w:space="0" w:color="auto"/>
              <w:bottom w:val="single" w:sz="4" w:space="0" w:color="auto"/>
            </w:tcBorders>
            <w:hideMark/>
          </w:tcPr>
          <w:p w14:paraId="42B4CDAA" w14:textId="5D8D8176" w:rsidR="00631E18" w:rsidRPr="00631E18" w:rsidRDefault="006A233B" w:rsidP="00631E18">
            <w:pPr>
              <w:rPr>
                <w:rFonts w:ascii="Times New Roman" w:eastAsia="Times New Roman" w:hAnsi="Times New Roman" w:cs="Times New Roman"/>
                <w:b/>
                <w:bCs/>
                <w:iCs/>
                <w:lang w:val="en-GB"/>
              </w:rPr>
            </w:pPr>
            <m:oMathPara>
              <m:oMath>
                <m:r>
                  <m:rPr>
                    <m:sty m:val="b"/>
                  </m:rPr>
                  <w:rPr>
                    <w:rFonts w:ascii="Cambria Math" w:eastAsia="Times New Roman" w:hAnsi="Cambria Math" w:cs="Times New Roman"/>
                    <w:lang w:val="en-GB"/>
                  </w:rPr>
                  <m:t>d=0.05</m:t>
                </m:r>
              </m:oMath>
            </m:oMathPara>
          </w:p>
        </w:tc>
      </w:tr>
      <w:tr w:rsidR="00631E18" w:rsidRPr="00631E18" w14:paraId="5AD32897" w14:textId="77777777" w:rsidTr="006A233B">
        <w:trPr>
          <w:trHeight w:val="794"/>
        </w:trPr>
        <w:tc>
          <w:tcPr>
            <w:tcW w:w="0" w:type="auto"/>
            <w:tcBorders>
              <w:top w:val="single" w:sz="4" w:space="0" w:color="auto"/>
              <w:bottom w:val="single" w:sz="4" w:space="0" w:color="auto"/>
            </w:tcBorders>
            <w:hideMark/>
          </w:tcPr>
          <w:p w14:paraId="7695FC6A" w14:textId="77777777" w:rsidR="00631E18" w:rsidRPr="006A233B" w:rsidRDefault="00631E18" w:rsidP="00631E18">
            <w:pPr>
              <w:rPr>
                <w:rFonts w:ascii="Times New Roman" w:eastAsia="Times New Roman" w:hAnsi="Times New Roman" w:cs="Times New Roman"/>
                <w:iCs/>
                <w:lang w:val="en-GB"/>
              </w:rPr>
            </w:pPr>
            <w:r w:rsidRPr="006A233B">
              <w:rPr>
                <w:rFonts w:ascii="Times New Roman" w:eastAsia="Times New Roman" w:hAnsi="Times New Roman" w:cs="Times New Roman"/>
                <w:iCs/>
                <w:lang w:val="en-GB"/>
              </w:rPr>
              <w:t>Post-Intervention Mean Score (%)</w:t>
            </w:r>
          </w:p>
        </w:tc>
        <w:tc>
          <w:tcPr>
            <w:tcW w:w="1439" w:type="dxa"/>
            <w:tcBorders>
              <w:top w:val="single" w:sz="4" w:space="0" w:color="auto"/>
              <w:bottom w:val="single" w:sz="4" w:space="0" w:color="auto"/>
            </w:tcBorders>
            <w:hideMark/>
          </w:tcPr>
          <w:p w14:paraId="73016CFC" w14:textId="6949CBC1"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71.5±7.6</m:t>
                </m:r>
              </m:oMath>
            </m:oMathPara>
          </w:p>
        </w:tc>
        <w:tc>
          <w:tcPr>
            <w:tcW w:w="1657" w:type="dxa"/>
            <w:tcBorders>
              <w:top w:val="single" w:sz="4" w:space="0" w:color="auto"/>
              <w:bottom w:val="single" w:sz="4" w:space="0" w:color="auto"/>
            </w:tcBorders>
            <w:hideMark/>
          </w:tcPr>
          <w:p w14:paraId="18BEF0C4" w14:textId="4E4EBAB3"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82.4±6.9</m:t>
                </m:r>
              </m:oMath>
            </m:oMathPara>
          </w:p>
        </w:tc>
        <w:tc>
          <w:tcPr>
            <w:tcW w:w="1462" w:type="dxa"/>
            <w:tcBorders>
              <w:top w:val="single" w:sz="4" w:space="0" w:color="auto"/>
              <w:bottom w:val="single" w:sz="4" w:space="0" w:color="auto"/>
            </w:tcBorders>
            <w:hideMark/>
          </w:tcPr>
          <w:p w14:paraId="7027545C" w14:textId="761DD36A"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F=38.42</m:t>
                </m:r>
              </m:oMath>
            </m:oMathPara>
          </w:p>
        </w:tc>
        <w:tc>
          <w:tcPr>
            <w:tcW w:w="965" w:type="dxa"/>
            <w:tcBorders>
              <w:top w:val="single" w:sz="4" w:space="0" w:color="auto"/>
              <w:bottom w:val="single" w:sz="4" w:space="0" w:color="auto"/>
            </w:tcBorders>
            <w:hideMark/>
          </w:tcPr>
          <w:p w14:paraId="2FDC405D" w14:textId="6AA09EBD"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&lt;0.001</m:t>
                </m:r>
              </m:oMath>
            </m:oMathPara>
          </w:p>
        </w:tc>
        <w:tc>
          <w:tcPr>
            <w:tcW w:w="0" w:type="auto"/>
            <w:tcBorders>
              <w:top w:val="single" w:sz="4" w:space="0" w:color="auto"/>
              <w:bottom w:val="single" w:sz="4" w:space="0" w:color="auto"/>
            </w:tcBorders>
            <w:hideMark/>
          </w:tcPr>
          <w:p w14:paraId="2F9DFBD7" w14:textId="6239D5A3" w:rsidR="00631E18" w:rsidRPr="00631E18" w:rsidRDefault="00000000" w:rsidP="00631E18">
            <w:pPr>
              <w:rPr>
                <w:rFonts w:ascii="Times New Roman" w:eastAsia="Times New Roman" w:hAnsi="Times New Roman" w:cs="Times New Roman"/>
                <w:b/>
                <w:bCs/>
                <w:iCs/>
                <w:lang w:val="en-GB"/>
              </w:rPr>
            </w:pPr>
            <m:oMathPara>
              <m:oMath>
                <m:sSup>
                  <m:sSupPr>
                    <m:ctrlPr>
                      <w:rPr>
                        <w:rFonts w:ascii="Cambria Math" w:eastAsia="Times New Roman" w:hAnsi="Cambria Math" w:cs="Times New Roman"/>
                        <w:b/>
                        <w:bCs/>
                        <w:iCs/>
                        <w:lang w:val="en-GB"/>
                      </w:rPr>
                    </m:ctrlPr>
                  </m:sSupPr>
                  <m:e>
                    <m:r>
                      <m:rPr>
                        <m:sty m:val="b"/>
                      </m:rPr>
                      <w:rPr>
                        <w:rFonts w:ascii="Cambria Math" w:eastAsia="Times New Roman" w:hAnsi="Cambria Math" w:cs="Times New Roman"/>
                        <w:lang w:val="en-GB"/>
                      </w:rPr>
                      <m:t>η</m:t>
                    </m:r>
                  </m:e>
                  <m:sup>
                    <m:r>
                      <m:rPr>
                        <m:sty m:val="b"/>
                      </m:rPr>
                      <w:rPr>
                        <w:rFonts w:ascii="Cambria Math" w:eastAsia="Times New Roman" w:hAnsi="Cambria Math" w:cs="Times New Roman"/>
                        <w:lang w:val="en-GB"/>
                      </w:rPr>
                      <m:t>2</m:t>
                    </m:r>
                  </m:sup>
                </m:sSup>
                <m:r>
                  <m:rPr>
                    <m:sty m:val="b"/>
                  </m:rPr>
                  <w:rPr>
                    <w:rFonts w:ascii="Cambria Math" w:eastAsia="Times New Roman" w:hAnsi="Cambria Math" w:cs="Times New Roman"/>
                    <w:lang w:val="en-GB"/>
                  </w:rPr>
                  <m:t>=0.18</m:t>
                </m:r>
              </m:oMath>
            </m:oMathPara>
          </w:p>
        </w:tc>
      </w:tr>
      <w:tr w:rsidR="00631E18" w:rsidRPr="00631E18" w14:paraId="6E68A73F" w14:textId="77777777" w:rsidTr="006A233B">
        <w:trPr>
          <w:trHeight w:val="794"/>
        </w:trPr>
        <w:tc>
          <w:tcPr>
            <w:tcW w:w="0" w:type="auto"/>
            <w:tcBorders>
              <w:top w:val="single" w:sz="4" w:space="0" w:color="auto"/>
              <w:bottom w:val="single" w:sz="4" w:space="0" w:color="auto"/>
            </w:tcBorders>
            <w:hideMark/>
          </w:tcPr>
          <w:p w14:paraId="71C91F9D" w14:textId="77777777" w:rsidR="00631E18" w:rsidRPr="006A233B" w:rsidRDefault="00631E18" w:rsidP="00631E18">
            <w:pPr>
              <w:rPr>
                <w:rFonts w:ascii="Times New Roman" w:eastAsia="Times New Roman" w:hAnsi="Times New Roman" w:cs="Times New Roman"/>
                <w:iCs/>
                <w:lang w:val="en-GB"/>
              </w:rPr>
            </w:pPr>
            <w:r w:rsidRPr="006A233B">
              <w:rPr>
                <w:rFonts w:ascii="Times New Roman" w:eastAsia="Times New Roman" w:hAnsi="Times New Roman" w:cs="Times New Roman"/>
                <w:iCs/>
                <w:lang w:val="en-GB"/>
              </w:rPr>
              <w:lastRenderedPageBreak/>
              <w:t>Avg. Assignment Completion Rate (%)</w:t>
            </w:r>
          </w:p>
        </w:tc>
        <w:tc>
          <w:tcPr>
            <w:tcW w:w="1439" w:type="dxa"/>
            <w:tcBorders>
              <w:top w:val="single" w:sz="4" w:space="0" w:color="auto"/>
              <w:bottom w:val="single" w:sz="4" w:space="0" w:color="auto"/>
            </w:tcBorders>
            <w:hideMark/>
          </w:tcPr>
          <w:p w14:paraId="4BCEC66A" w14:textId="15742086"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78.1%</m:t>
                </m:r>
              </m:oMath>
            </m:oMathPara>
          </w:p>
        </w:tc>
        <w:tc>
          <w:tcPr>
            <w:tcW w:w="1657" w:type="dxa"/>
            <w:tcBorders>
              <w:top w:val="single" w:sz="4" w:space="0" w:color="auto"/>
              <w:bottom w:val="single" w:sz="4" w:space="0" w:color="auto"/>
            </w:tcBorders>
            <w:hideMark/>
          </w:tcPr>
          <w:p w14:paraId="569EBE6D" w14:textId="756FC81E"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91.3%</m:t>
                </m:r>
              </m:oMath>
            </m:oMathPara>
          </w:p>
        </w:tc>
        <w:tc>
          <w:tcPr>
            <w:tcW w:w="1462" w:type="dxa"/>
            <w:tcBorders>
              <w:top w:val="single" w:sz="4" w:space="0" w:color="auto"/>
              <w:bottom w:val="single" w:sz="4" w:space="0" w:color="auto"/>
            </w:tcBorders>
            <w:hideMark/>
          </w:tcPr>
          <w:p w14:paraId="22FC4759" w14:textId="7A3BB031"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t=5.84</m:t>
                </m:r>
              </m:oMath>
            </m:oMathPara>
          </w:p>
        </w:tc>
        <w:tc>
          <w:tcPr>
            <w:tcW w:w="965" w:type="dxa"/>
            <w:tcBorders>
              <w:top w:val="single" w:sz="4" w:space="0" w:color="auto"/>
              <w:bottom w:val="single" w:sz="4" w:space="0" w:color="auto"/>
            </w:tcBorders>
            <w:hideMark/>
          </w:tcPr>
          <w:p w14:paraId="4349DC73" w14:textId="34285B67"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&lt;0.001</m:t>
                </m:r>
              </m:oMath>
            </m:oMathPara>
          </w:p>
        </w:tc>
        <w:tc>
          <w:tcPr>
            <w:tcW w:w="0" w:type="auto"/>
            <w:tcBorders>
              <w:top w:val="single" w:sz="4" w:space="0" w:color="auto"/>
              <w:bottom w:val="single" w:sz="4" w:space="0" w:color="auto"/>
            </w:tcBorders>
            <w:hideMark/>
          </w:tcPr>
          <w:p w14:paraId="039B0DAF" w14:textId="2290231F" w:rsidR="00631E18" w:rsidRPr="00631E18" w:rsidRDefault="006A233B" w:rsidP="00631E18">
            <w:pPr>
              <w:rPr>
                <w:rFonts w:ascii="Times New Roman" w:eastAsia="Times New Roman" w:hAnsi="Times New Roman" w:cs="Times New Roman"/>
                <w:b/>
                <w:bCs/>
                <w:iCs/>
                <w:lang w:val="en-GB"/>
              </w:rPr>
            </w:pPr>
            <m:oMathPara>
              <m:oMath>
                <m:r>
                  <m:rPr>
                    <m:sty m:val="b"/>
                  </m:rPr>
                  <w:rPr>
                    <w:rFonts w:ascii="Cambria Math" w:eastAsia="Times New Roman" w:hAnsi="Cambria Math" w:cs="Times New Roman"/>
                    <w:lang w:val="en-GB"/>
                  </w:rPr>
                  <m:t>d=0.68</m:t>
                </m:r>
              </m:oMath>
            </m:oMathPara>
          </w:p>
        </w:tc>
      </w:tr>
      <w:tr w:rsidR="00631E18" w:rsidRPr="00631E18" w14:paraId="7F518DF1" w14:textId="77777777" w:rsidTr="006A233B">
        <w:trPr>
          <w:trHeight w:val="794"/>
        </w:trPr>
        <w:tc>
          <w:tcPr>
            <w:tcW w:w="0" w:type="auto"/>
            <w:tcBorders>
              <w:top w:val="single" w:sz="4" w:space="0" w:color="auto"/>
              <w:bottom w:val="single" w:sz="4" w:space="0" w:color="auto"/>
            </w:tcBorders>
            <w:hideMark/>
          </w:tcPr>
          <w:p w14:paraId="3FE51053" w14:textId="77777777" w:rsidR="00631E18" w:rsidRPr="006A233B" w:rsidRDefault="00631E18" w:rsidP="00631E18">
            <w:pPr>
              <w:rPr>
                <w:rFonts w:ascii="Times New Roman" w:eastAsia="Times New Roman" w:hAnsi="Times New Roman" w:cs="Times New Roman"/>
                <w:iCs/>
                <w:lang w:val="en-GB"/>
              </w:rPr>
            </w:pPr>
            <w:r w:rsidRPr="006A233B">
              <w:rPr>
                <w:rFonts w:ascii="Times New Roman" w:eastAsia="Times New Roman" w:hAnsi="Times New Roman" w:cs="Times New Roman"/>
                <w:iCs/>
                <w:lang w:val="en-GB"/>
              </w:rPr>
              <w:t>Self-Reported Weekly Engagement (1–5 Scale)</w:t>
            </w:r>
          </w:p>
        </w:tc>
        <w:tc>
          <w:tcPr>
            <w:tcW w:w="1439" w:type="dxa"/>
            <w:tcBorders>
              <w:top w:val="single" w:sz="4" w:space="0" w:color="auto"/>
              <w:bottom w:val="single" w:sz="4" w:space="0" w:color="auto"/>
            </w:tcBorders>
            <w:hideMark/>
          </w:tcPr>
          <w:p w14:paraId="51B0247B" w14:textId="26AEFF2A"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3.1±0.7</m:t>
                </m:r>
              </m:oMath>
            </m:oMathPara>
          </w:p>
        </w:tc>
        <w:tc>
          <w:tcPr>
            <w:tcW w:w="1657" w:type="dxa"/>
            <w:tcBorders>
              <w:top w:val="single" w:sz="4" w:space="0" w:color="auto"/>
              <w:bottom w:val="single" w:sz="4" w:space="0" w:color="auto"/>
            </w:tcBorders>
            <w:hideMark/>
          </w:tcPr>
          <w:p w14:paraId="6D7464D6" w14:textId="7EF34F6B"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4.2±0.5</m:t>
                </m:r>
              </m:oMath>
            </m:oMathPara>
          </w:p>
        </w:tc>
        <w:tc>
          <w:tcPr>
            <w:tcW w:w="1462" w:type="dxa"/>
            <w:tcBorders>
              <w:top w:val="single" w:sz="4" w:space="0" w:color="auto"/>
              <w:bottom w:val="single" w:sz="4" w:space="0" w:color="auto"/>
            </w:tcBorders>
            <w:hideMark/>
          </w:tcPr>
          <w:p w14:paraId="254D6400" w14:textId="639ED2E9"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t=8.12</m:t>
                </m:r>
              </m:oMath>
            </m:oMathPara>
          </w:p>
        </w:tc>
        <w:tc>
          <w:tcPr>
            <w:tcW w:w="965" w:type="dxa"/>
            <w:tcBorders>
              <w:top w:val="single" w:sz="4" w:space="0" w:color="auto"/>
              <w:bottom w:val="single" w:sz="4" w:space="0" w:color="auto"/>
            </w:tcBorders>
            <w:hideMark/>
          </w:tcPr>
          <w:p w14:paraId="25020A06" w14:textId="03617DE7"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&lt;0.001</m:t>
                </m:r>
              </m:oMath>
            </m:oMathPara>
          </w:p>
        </w:tc>
        <w:tc>
          <w:tcPr>
            <w:tcW w:w="0" w:type="auto"/>
            <w:tcBorders>
              <w:top w:val="single" w:sz="4" w:space="0" w:color="auto"/>
              <w:bottom w:val="single" w:sz="4" w:space="0" w:color="auto"/>
            </w:tcBorders>
            <w:hideMark/>
          </w:tcPr>
          <w:p w14:paraId="5A476098" w14:textId="02D7135F" w:rsidR="00631E18" w:rsidRPr="00631E18" w:rsidRDefault="006A233B" w:rsidP="00631E18">
            <w:pPr>
              <w:rPr>
                <w:rFonts w:ascii="Times New Roman" w:eastAsia="Times New Roman" w:hAnsi="Times New Roman" w:cs="Times New Roman"/>
                <w:b/>
                <w:bCs/>
                <w:iCs/>
                <w:lang w:val="en-GB"/>
              </w:rPr>
            </w:pPr>
            <m:oMathPara>
              <m:oMath>
                <m:r>
                  <m:rPr>
                    <m:sty m:val="b"/>
                  </m:rPr>
                  <w:rPr>
                    <w:rFonts w:ascii="Cambria Math" w:eastAsia="Times New Roman" w:hAnsi="Cambria Math" w:cs="Times New Roman"/>
                    <w:lang w:val="en-GB"/>
                  </w:rPr>
                  <m:t>d=0.91</m:t>
                </m:r>
              </m:oMath>
            </m:oMathPara>
          </w:p>
        </w:tc>
      </w:tr>
      <w:tr w:rsidR="00631E18" w:rsidRPr="00631E18" w14:paraId="66E8F097" w14:textId="77777777" w:rsidTr="006A233B">
        <w:trPr>
          <w:trHeight w:val="794"/>
        </w:trPr>
        <w:tc>
          <w:tcPr>
            <w:tcW w:w="0" w:type="auto"/>
            <w:tcBorders>
              <w:top w:val="single" w:sz="4" w:space="0" w:color="auto"/>
              <w:bottom w:val="single" w:sz="4" w:space="0" w:color="auto"/>
            </w:tcBorders>
            <w:hideMark/>
          </w:tcPr>
          <w:p w14:paraId="76BF57E0" w14:textId="77777777" w:rsidR="00631E18" w:rsidRPr="006A233B" w:rsidRDefault="00631E18" w:rsidP="00631E18">
            <w:pPr>
              <w:rPr>
                <w:rFonts w:ascii="Times New Roman" w:eastAsia="Times New Roman" w:hAnsi="Times New Roman" w:cs="Times New Roman"/>
                <w:iCs/>
                <w:lang w:val="en-GB"/>
              </w:rPr>
            </w:pPr>
            <w:r w:rsidRPr="006A233B">
              <w:rPr>
                <w:rFonts w:ascii="Times New Roman" w:eastAsia="Times New Roman" w:hAnsi="Times New Roman" w:cs="Times New Roman"/>
                <w:iCs/>
                <w:lang w:val="en-GB"/>
              </w:rPr>
              <w:t>Material Retention Rate (4-Week Follow-up)</w:t>
            </w:r>
          </w:p>
        </w:tc>
        <w:tc>
          <w:tcPr>
            <w:tcW w:w="1439" w:type="dxa"/>
            <w:tcBorders>
              <w:top w:val="single" w:sz="4" w:space="0" w:color="auto"/>
              <w:bottom w:val="single" w:sz="4" w:space="0" w:color="auto"/>
            </w:tcBorders>
            <w:hideMark/>
          </w:tcPr>
          <w:p w14:paraId="259B19FF" w14:textId="35955C69"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62.0%</m:t>
                </m:r>
              </m:oMath>
            </m:oMathPara>
          </w:p>
        </w:tc>
        <w:tc>
          <w:tcPr>
            <w:tcW w:w="1657" w:type="dxa"/>
            <w:tcBorders>
              <w:top w:val="single" w:sz="4" w:space="0" w:color="auto"/>
              <w:bottom w:val="single" w:sz="4" w:space="0" w:color="auto"/>
            </w:tcBorders>
            <w:hideMark/>
          </w:tcPr>
          <w:p w14:paraId="4A411B96" w14:textId="509306C5"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76.8%</m:t>
                </m:r>
              </m:oMath>
            </m:oMathPara>
          </w:p>
        </w:tc>
        <w:tc>
          <w:tcPr>
            <w:tcW w:w="1462" w:type="dxa"/>
            <w:tcBorders>
              <w:top w:val="single" w:sz="4" w:space="0" w:color="auto"/>
              <w:bottom w:val="single" w:sz="4" w:space="0" w:color="auto"/>
            </w:tcBorders>
            <w:hideMark/>
          </w:tcPr>
          <w:p w14:paraId="3ECC1C10" w14:textId="1065AFAC" w:rsidR="00631E18" w:rsidRPr="006A233B" w:rsidRDefault="006A233B" w:rsidP="00631E18">
            <w:pPr>
              <w:rPr>
                <w:rFonts w:ascii="Times New Roman" w:eastAsia="Times New Roman" w:hAnsi="Times New Roman" w:cs="Times New Roman"/>
                <w:iCs/>
                <w:lang w:val="en-GB"/>
              </w:rPr>
            </w:pPr>
            <m:oMathPara>
              <m:oMath>
                <m:r>
                  <m:rPr>
                    <m:sty m:val="p"/>
                  </m:rPr>
                  <w:rPr>
                    <w:rFonts w:ascii="Cambria Math" w:eastAsia="Times New Roman" w:hAnsi="Cambria Math" w:cs="Times New Roman"/>
                    <w:lang w:val="en-GB"/>
                  </w:rPr>
                  <m:t>t=4.93</m:t>
                </m:r>
              </m:oMath>
            </m:oMathPara>
          </w:p>
        </w:tc>
        <w:tc>
          <w:tcPr>
            <w:tcW w:w="965" w:type="dxa"/>
            <w:tcBorders>
              <w:top w:val="single" w:sz="4" w:space="0" w:color="auto"/>
              <w:bottom w:val="single" w:sz="4" w:space="0" w:color="auto"/>
            </w:tcBorders>
            <w:hideMark/>
          </w:tcPr>
          <w:p w14:paraId="375D7219" w14:textId="77777777" w:rsidR="00631E18" w:rsidRPr="006A233B" w:rsidRDefault="00631E18" w:rsidP="00631E18">
            <w:pPr>
              <w:rPr>
                <w:rFonts w:ascii="Times New Roman" w:eastAsia="Times New Roman" w:hAnsi="Times New Roman" w:cs="Times New Roman"/>
                <w:iCs/>
                <w:lang w:val="en-GB"/>
              </w:rPr>
            </w:pPr>
          </w:p>
        </w:tc>
        <w:tc>
          <w:tcPr>
            <w:tcW w:w="0" w:type="auto"/>
            <w:tcBorders>
              <w:top w:val="single" w:sz="4" w:space="0" w:color="auto"/>
              <w:bottom w:val="single" w:sz="4" w:space="0" w:color="auto"/>
            </w:tcBorders>
            <w:hideMark/>
          </w:tcPr>
          <w:p w14:paraId="16EEEC38" w14:textId="77777777" w:rsidR="00631E18" w:rsidRPr="00631E18" w:rsidRDefault="00631E18" w:rsidP="00631E18">
            <w:pPr>
              <w:rPr>
                <w:rFonts w:ascii="Times New Roman" w:eastAsia="Times New Roman" w:hAnsi="Times New Roman" w:cs="Times New Roman"/>
                <w:b/>
                <w:bCs/>
                <w:iCs/>
                <w:lang w:val="en-GB"/>
              </w:rPr>
            </w:pPr>
          </w:p>
        </w:tc>
      </w:tr>
    </w:tbl>
    <w:p w14:paraId="1DBB3708" w14:textId="77777777" w:rsidR="00631E18" w:rsidRDefault="00631E18" w:rsidP="00C34509">
      <w:pPr>
        <w:spacing w:line="276" w:lineRule="auto"/>
        <w:rPr>
          <w:rFonts w:ascii="Times New Roman" w:eastAsia="Times New Roman" w:hAnsi="Times New Roman" w:cs="Times New Roman"/>
          <w:i/>
          <w:lang w:val="en-GB"/>
        </w:rPr>
      </w:pPr>
    </w:p>
    <w:p w14:paraId="0CC54C80" w14:textId="580AC715" w:rsidR="00C34509" w:rsidRPr="00790661" w:rsidRDefault="00C34509" w:rsidP="00747DA7">
      <w:pPr>
        <w:pStyle w:val="TabloFigureSekilResimEtiketi"/>
      </w:pPr>
      <w:r w:rsidRPr="00790661">
        <w:br/>
        <w:t xml:space="preserve">Figure </w:t>
      </w:r>
      <w:r w:rsidR="006A233B">
        <w:t>1</w:t>
      </w:r>
      <w:r w:rsidR="006A233B" w:rsidRPr="000F3004">
        <w:rPr>
          <w:b w:val="0"/>
          <w:bCs/>
        </w:rPr>
        <w:t xml:space="preserve">. </w:t>
      </w:r>
      <w:r w:rsidR="00747DA7" w:rsidRPr="000F3004">
        <w:rPr>
          <w:b w:val="0"/>
          <w:bCs/>
        </w:rPr>
        <w:t>Sampl</w:t>
      </w:r>
      <w:r w:rsidR="000F3004">
        <w:rPr>
          <w:b w:val="0"/>
          <w:bCs/>
        </w:rPr>
        <w:t>e</w:t>
      </w:r>
      <w:r w:rsidR="00747DA7" w:rsidRPr="000F3004">
        <w:rPr>
          <w:b w:val="0"/>
          <w:bCs/>
        </w:rPr>
        <w:t xml:space="preserve"> Figure or Image Caption</w:t>
      </w:r>
    </w:p>
    <w:p w14:paraId="3FD1A1B8" w14:textId="7E7E8837" w:rsidR="00C34509" w:rsidRPr="00790661" w:rsidRDefault="00747DA7" w:rsidP="00747DA7">
      <w:pPr>
        <w:pStyle w:val="dzMetinTimes11"/>
        <w:jc w:val="center"/>
      </w:pPr>
      <w:r>
        <w:rPr>
          <w:noProof/>
        </w:rPr>
        <w:drawing>
          <wp:inline distT="0" distB="0" distL="0" distR="0" wp14:anchorId="6807522F" wp14:editId="2B869F1E">
            <wp:extent cx="3599608" cy="2711302"/>
            <wp:effectExtent l="0" t="0" r="1270" b="0"/>
            <wp:docPr id="98205764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4178" b="10501"/>
                    <a:stretch>
                      <a:fillRect/>
                    </a:stretch>
                  </pic:blipFill>
                  <pic:spPr bwMode="auto">
                    <a:xfrm>
                      <a:off x="0" y="0"/>
                      <a:ext cx="3600000" cy="2711597"/>
                    </a:xfrm>
                    <a:prstGeom prst="rect">
                      <a:avLst/>
                    </a:prstGeom>
                    <a:noFill/>
                    <a:ln>
                      <a:noFill/>
                    </a:ln>
                    <a:extLst>
                      <a:ext uri="{53640926-AAD7-44D8-BBD7-CCE9431645EC}">
                        <a14:shadowObscured xmlns:a14="http://schemas.microsoft.com/office/drawing/2010/main"/>
                      </a:ext>
                    </a:extLst>
                  </pic:spPr>
                </pic:pic>
              </a:graphicData>
            </a:graphic>
          </wp:inline>
        </w:drawing>
      </w:r>
    </w:p>
    <w:p w14:paraId="6835F18C" w14:textId="7A6533B5" w:rsidR="00C34509" w:rsidRPr="00FD0ED9" w:rsidRDefault="00C34509" w:rsidP="00FD0ED9">
      <w:pPr>
        <w:pStyle w:val="Balk1"/>
      </w:pPr>
      <w:r w:rsidRPr="00FD0ED9">
        <w:t>Discussion and Conclusion</w:t>
      </w:r>
    </w:p>
    <w:p w14:paraId="4539DE7E" w14:textId="5F22F2FF" w:rsidR="006A233B" w:rsidRDefault="006A233B" w:rsidP="00FD0ED9">
      <w:pPr>
        <w:pStyle w:val="dzMetinTimes11"/>
      </w:pPr>
      <w:r w:rsidRPr="006A233B">
        <w:t xml:space="preserve">The empirical findings confirm that integrating educational technology yields significant cognitive and affective gains when supported by structured instructional design. As demonstrated in the results, students utilizing adaptive learning platforms achieved a statistically significant increase in post-intervention mean scores ($82.4\%$) compared to the control group ($71.5\%$), alongside marked improvements in retention and self-reported engagement. These outcomes reinforce constructivist and </w:t>
      </w:r>
      <w:r w:rsidR="00747DA7" w:rsidRPr="006A233B">
        <w:t>connectivism</w:t>
      </w:r>
      <w:r w:rsidRPr="006A233B">
        <w:t xml:space="preserve"> learning theories, illustrating that interactive, real-time feedback loops shift students from passive consumers of information to active participants in their learning process.</w:t>
      </w:r>
      <w:r>
        <w:t xml:space="preserve"> </w:t>
      </w:r>
    </w:p>
    <w:p w14:paraId="5A6586F5" w14:textId="1D043389" w:rsidR="006A233B" w:rsidRDefault="006A233B" w:rsidP="00FD0ED9">
      <w:pPr>
        <w:pStyle w:val="dzMetinTimes11"/>
      </w:pPr>
      <w:r w:rsidRPr="006A233B">
        <w:t>However, the findings also highlight a critical tension between technological efficacy and structural equity. The qualitative data revealed that digital divide factors—specifically bandwidth limitations and unequal device access—disproportionately affect learners in low-resource environments. Without intentional intervention, advanced technologies risk widening existing achievement gaps rather than bridging them. Furthermore, the identified faculty training gaps emphasize that software deployment alone does not guarantee pedagogical success; institutional alignment via frameworks such as TPACK remains essential.</w:t>
      </w:r>
    </w:p>
    <w:p w14:paraId="4F038B36" w14:textId="77777777" w:rsidR="00FD0ED9" w:rsidRDefault="00FD0ED9" w:rsidP="00FD0ED9">
      <w:pPr>
        <w:pStyle w:val="dzMetinTimes11"/>
      </w:pPr>
    </w:p>
    <w:p w14:paraId="6CF7C6DE" w14:textId="4DC23D9A" w:rsidR="00FD0ED9" w:rsidRPr="00FD0ED9" w:rsidRDefault="00FD0ED9" w:rsidP="00FD0ED9">
      <w:pPr>
        <w:pStyle w:val="Balk2"/>
      </w:pPr>
      <w:r w:rsidRPr="00FD0ED9">
        <w:t>Implications</w:t>
      </w:r>
    </w:p>
    <w:p w14:paraId="6D363786" w14:textId="77777777" w:rsidR="00FD0ED9" w:rsidRPr="00FD0ED9" w:rsidRDefault="00FD0ED9" w:rsidP="00FD0ED9">
      <w:pPr>
        <w:pStyle w:val="dzMetinTimes11"/>
      </w:pPr>
      <w:r w:rsidRPr="00FD0ED9">
        <w:t>Based on these insights, educational leaders, policymakers, and software developers should consider three primary actions:</w:t>
      </w:r>
    </w:p>
    <w:p w14:paraId="53FCFAAD" w14:textId="77777777" w:rsidR="00FD0ED9" w:rsidRPr="00FD0ED9" w:rsidRDefault="00FD0ED9" w:rsidP="00FD0ED9">
      <w:pPr>
        <w:pStyle w:val="dzMetinTimes11"/>
      </w:pPr>
    </w:p>
    <w:p w14:paraId="2B29A760" w14:textId="77777777" w:rsidR="00FD0ED9" w:rsidRPr="00FD0ED9" w:rsidRDefault="00FD0ED9" w:rsidP="00FD0ED9">
      <w:pPr>
        <w:pStyle w:val="dzMetinTimes11"/>
        <w:numPr>
          <w:ilvl w:val="0"/>
          <w:numId w:val="3"/>
        </w:numPr>
      </w:pPr>
      <w:r w:rsidRPr="00FD0ED9">
        <w:lastRenderedPageBreak/>
        <w:t>Invest in Equitable Infrastructure: Higher education institutions and regional policymakers must prioritize universal access to low-bandwidth, offline-capable digital platforms and mobile-friendly learning interfaces to mitigate access deficits.</w:t>
      </w:r>
    </w:p>
    <w:p w14:paraId="7806D042" w14:textId="77777777" w:rsidR="00FD0ED9" w:rsidRPr="00FD0ED9" w:rsidRDefault="00FD0ED9" w:rsidP="00FD0ED9">
      <w:pPr>
        <w:pStyle w:val="dzMetinTimes11"/>
      </w:pPr>
    </w:p>
    <w:p w14:paraId="387071A2" w14:textId="77777777" w:rsidR="00FD0ED9" w:rsidRPr="00FD0ED9" w:rsidRDefault="00FD0ED9" w:rsidP="00FD0ED9">
      <w:pPr>
        <w:pStyle w:val="dzMetinTimes11"/>
        <w:numPr>
          <w:ilvl w:val="0"/>
          <w:numId w:val="3"/>
        </w:numPr>
      </w:pPr>
      <w:r w:rsidRPr="00FD0ED9">
        <w:t>Embed Continuous TPACK Professional Development: Institutional policy should mandate ongoing, discipline-specific faculty training focused on leveraging adaptive learning analytics rather than simple software navigation.</w:t>
      </w:r>
    </w:p>
    <w:p w14:paraId="4CC41EDB" w14:textId="77777777" w:rsidR="00FD0ED9" w:rsidRPr="00FD0ED9" w:rsidRDefault="00FD0ED9" w:rsidP="00FD0ED9">
      <w:pPr>
        <w:pStyle w:val="dzMetinTimes11"/>
      </w:pPr>
    </w:p>
    <w:p w14:paraId="36842E54" w14:textId="1AE08A95" w:rsidR="00FD0ED9" w:rsidRDefault="00FD0ED9" w:rsidP="00FD0ED9">
      <w:pPr>
        <w:pStyle w:val="dzMetinTimes11"/>
        <w:numPr>
          <w:ilvl w:val="0"/>
          <w:numId w:val="3"/>
        </w:numPr>
      </w:pPr>
      <w:r w:rsidRPr="00FD0ED9">
        <w:t>Establish Data Privacy and Ethics Frameworks: As AI-driven tools become mainstream, institutions must implement transparent data governance protocols to safeguard student data privacy and ensure the ethical deployment of predictive analytics.</w:t>
      </w:r>
    </w:p>
    <w:p w14:paraId="1F1E2D9D" w14:textId="77777777" w:rsidR="006A233B" w:rsidRDefault="006A233B" w:rsidP="00FD0ED9">
      <w:pPr>
        <w:pStyle w:val="dzMetinTimes11"/>
      </w:pPr>
    </w:p>
    <w:p w14:paraId="7E0A9E9B" w14:textId="63F94A76" w:rsidR="006A233B" w:rsidRDefault="006A233B" w:rsidP="00FD0ED9">
      <w:pPr>
        <w:pStyle w:val="Balk2"/>
      </w:pPr>
      <w:r>
        <w:t xml:space="preserve">Conclusion </w:t>
      </w:r>
    </w:p>
    <w:p w14:paraId="1173F83B" w14:textId="649332A4" w:rsidR="006A233B" w:rsidRPr="006A233B" w:rsidRDefault="006A233B" w:rsidP="00FD0ED9">
      <w:pPr>
        <w:pStyle w:val="dzMetinTimes11"/>
      </w:pPr>
      <w:r w:rsidRPr="006A233B">
        <w:t>This study evaluated the impact of technology integration on modern learning environments, examining how adaptive platforms and digital tools influence student performance, pedagogical engagement, and equity. The findings demonstrate that educational technology—when thoughtfully aligned with sound pedagogical principles—acts as a powerful catalyst for improving learning outcomes, fostering self-directed study, and personalizing instruction across diverse student cohorts.</w:t>
      </w:r>
    </w:p>
    <w:p w14:paraId="2906B891" w14:textId="77777777" w:rsidR="006A233B" w:rsidRPr="006A233B" w:rsidRDefault="006A233B" w:rsidP="00FD0ED9">
      <w:pPr>
        <w:pStyle w:val="dzMetinTimes11"/>
      </w:pPr>
    </w:p>
    <w:p w14:paraId="797D016F" w14:textId="01E350F2" w:rsidR="00C34509" w:rsidRDefault="006A233B" w:rsidP="00FD0ED9">
      <w:pPr>
        <w:pStyle w:val="dzMetinTimes11"/>
      </w:pPr>
      <w:r w:rsidRPr="006A233B">
        <w:t>At the same time, the research underscores that technology is an enhancer of quality pedagogy, not a replacement for human-centered instruction. Realizing the full potential of digital learning requires addressing persistent structural barriers, including the digital divide, cognitive overload, and faculty training gaps. By balancing technological innovation with equitable access and comprehensive teacher support, institutions can build resilient, inclusive, and future-ready educational frameworks that prepare all learners for an increasingly digital world.</w:t>
      </w:r>
    </w:p>
    <w:p w14:paraId="3DC5FCC1" w14:textId="77777777" w:rsidR="006A233B" w:rsidRPr="00790661" w:rsidRDefault="006A233B" w:rsidP="00FD0ED9">
      <w:pPr>
        <w:pStyle w:val="dzMetinTimes11"/>
      </w:pPr>
    </w:p>
    <w:p w14:paraId="4BACF842" w14:textId="104B4A5F" w:rsidR="00C34509" w:rsidRPr="00790661" w:rsidRDefault="00C34509" w:rsidP="00747DA7">
      <w:pPr>
        <w:pStyle w:val="Balk1"/>
        <w:numPr>
          <w:ilvl w:val="0"/>
          <w:numId w:val="0"/>
        </w:numPr>
      </w:pPr>
      <w:r w:rsidRPr="00790661">
        <w:t>References</w:t>
      </w:r>
      <w:r w:rsidR="006251BF">
        <w:t xml:space="preserve"> </w:t>
      </w:r>
      <w:r w:rsidR="006251BF" w:rsidRPr="006251BF">
        <w:rPr>
          <w:highlight w:val="yellow"/>
        </w:rPr>
        <w:t>Following references are all</w:t>
      </w:r>
      <w:r w:rsidR="006251BF">
        <w:rPr>
          <w:highlight w:val="yellow"/>
        </w:rPr>
        <w:t xml:space="preserve"> in APA-7 style,</w:t>
      </w:r>
      <w:r w:rsidR="006251BF" w:rsidRPr="006251BF">
        <w:rPr>
          <w:highlight w:val="yellow"/>
        </w:rPr>
        <w:t xml:space="preserve"> created </w:t>
      </w:r>
      <w:r w:rsidR="006251BF">
        <w:rPr>
          <w:highlight w:val="yellow"/>
        </w:rPr>
        <w:t xml:space="preserve">with fake information </w:t>
      </w:r>
      <w:r w:rsidR="006251BF" w:rsidRPr="006251BF">
        <w:rPr>
          <w:highlight w:val="yellow"/>
        </w:rPr>
        <w:t>to be a sample</w:t>
      </w:r>
      <w:r w:rsidR="006251BF">
        <w:t xml:space="preserve"> for authors.</w:t>
      </w:r>
    </w:p>
    <w:p w14:paraId="45BCDC69" w14:textId="77777777" w:rsidR="00C34509" w:rsidRPr="00790661" w:rsidRDefault="00C34509" w:rsidP="00FD0ED9">
      <w:pPr>
        <w:pStyle w:val="dzMetinReferanslar"/>
      </w:pPr>
      <w:r w:rsidRPr="00790661">
        <w:t xml:space="preserve">Deterding, S., Dixon, D., Khaled, R., &amp; Nacke, L. (2011). From game design elements to gamefulness: defining “gamification.” </w:t>
      </w:r>
      <w:r w:rsidRPr="00790661">
        <w:rPr>
          <w:i/>
        </w:rPr>
        <w:t>Proceedings of the 15th International Academic MindTrek Conference</w:t>
      </w:r>
      <w:r w:rsidRPr="00790661">
        <w:t>. 13, 9-15.</w:t>
      </w:r>
    </w:p>
    <w:p w14:paraId="79607937" w14:textId="77777777" w:rsidR="00C34509" w:rsidRPr="00790661" w:rsidRDefault="00C34509" w:rsidP="00FD0ED9">
      <w:pPr>
        <w:pStyle w:val="dzMetinReferanslar"/>
      </w:pPr>
      <w:r w:rsidRPr="00790661">
        <w:t xml:space="preserve">Hamari, J., Koivisto, J., &amp; Sarsa, H. (2014). Does gamification work? A literature review of empirical </w:t>
      </w:r>
      <w:r w:rsidRPr="00790661">
        <w:br/>
        <w:t xml:space="preserve"> studies on gamification. </w:t>
      </w:r>
      <w:r w:rsidRPr="00790661">
        <w:rPr>
          <w:i/>
        </w:rPr>
        <w:t>Proceedings of the 47th Hawaii International Conference on System Sciences</w:t>
      </w:r>
      <w:r w:rsidRPr="00790661">
        <w:t>.6-9 January 2014, 3025-3034</w:t>
      </w:r>
      <w:r w:rsidRPr="00790661">
        <w:rPr>
          <w:rFonts w:ascii="Verdana" w:eastAsia="Verdana" w:hAnsi="Verdana" w:cs="Verdana"/>
          <w:color w:val="232323"/>
          <w:sz w:val="21"/>
          <w:szCs w:val="21"/>
          <w:highlight w:val="white"/>
        </w:rPr>
        <w:t>.</w:t>
      </w:r>
    </w:p>
    <w:p w14:paraId="0517215B" w14:textId="77777777" w:rsidR="00C34509" w:rsidRPr="00790661" w:rsidRDefault="00C34509" w:rsidP="00FD0ED9">
      <w:pPr>
        <w:pStyle w:val="dzMetinReferanslar"/>
      </w:pPr>
      <w:r w:rsidRPr="00790661">
        <w:t xml:space="preserve">Ryan, R. M., &amp; Deci, E. L. (2000). Self-determination theory and the facilitation of intrinsic motivation, social development, and well-being. </w:t>
      </w:r>
      <w:r w:rsidRPr="00790661">
        <w:rPr>
          <w:i/>
        </w:rPr>
        <w:t>American Psychologist</w:t>
      </w:r>
      <w:r w:rsidRPr="00790661">
        <w:t>. 2000 Jan;55(1):68-78.</w:t>
      </w:r>
    </w:p>
    <w:p w14:paraId="63674299" w14:textId="77777777" w:rsidR="00C34509" w:rsidRPr="00790661" w:rsidRDefault="00C34509" w:rsidP="00FD0ED9">
      <w:pPr>
        <w:pStyle w:val="dzMetinReferanslar"/>
      </w:pPr>
      <w:r w:rsidRPr="00790661">
        <w:t xml:space="preserve">Sailer, M., Hense, J., Mandl, H., &amp; Klevers, M. (2017). Psychological perspectives on motivation through gamification. </w:t>
      </w:r>
      <w:r w:rsidRPr="00790661">
        <w:rPr>
          <w:i/>
        </w:rPr>
        <w:t>Frontiers in Psychology</w:t>
      </w:r>
      <w:r w:rsidRPr="00790661">
        <w:t>, 69, 371-380.</w:t>
      </w:r>
    </w:p>
    <w:p w14:paraId="0B72DDAC" w14:textId="77777777" w:rsidR="00C34509" w:rsidRPr="00790661" w:rsidRDefault="00C34509" w:rsidP="00FD0ED9">
      <w:pPr>
        <w:pStyle w:val="dzMetinReferanslar"/>
      </w:pPr>
      <w:r w:rsidRPr="00790661">
        <w:t xml:space="preserve">Seaborn, K., &amp; Fels, D. I. (2015). Gamification in theory and action: A survey. </w:t>
      </w:r>
      <w:r w:rsidRPr="00790661">
        <w:rPr>
          <w:i/>
        </w:rPr>
        <w:t>International Journal of Human-Computer Studies</w:t>
      </w:r>
      <w:r w:rsidRPr="00790661">
        <w:t>, 74, 14-31.</w:t>
      </w:r>
    </w:p>
    <w:p w14:paraId="50AECD26" w14:textId="77777777" w:rsidR="00C34509" w:rsidRPr="00790661" w:rsidRDefault="00C34509" w:rsidP="00FD0ED9">
      <w:pPr>
        <w:pStyle w:val="dzMetinReferanslar"/>
      </w:pPr>
      <w:r w:rsidRPr="00790661">
        <w:t xml:space="preserve">Zainuddin, Z., Shujahat, M., Haruna, H., &amp; Chu, S. K. W. (2020). The impact of gamification on learning and instruction: A systematic review of empirical evidence. </w:t>
      </w:r>
      <w:r w:rsidRPr="00790661">
        <w:rPr>
          <w:i/>
        </w:rPr>
        <w:t>Educational Research Review</w:t>
      </w:r>
      <w:r w:rsidRPr="00790661">
        <w:t>, 13. 30, 100326.</w:t>
      </w:r>
    </w:p>
    <w:p w14:paraId="0C6CF9F0" w14:textId="77777777" w:rsidR="00146E10" w:rsidRPr="00790661" w:rsidRDefault="00146E10">
      <w:pPr>
        <w:rPr>
          <w:lang w:val="en-GB"/>
        </w:rPr>
      </w:pPr>
    </w:p>
    <w:sectPr w:rsidR="00146E10" w:rsidRPr="00790661" w:rsidSect="00DC386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3B4B5" w14:textId="77777777" w:rsidR="00617733" w:rsidRDefault="00617733" w:rsidP="00433829">
      <w:pPr>
        <w:spacing w:after="0" w:line="240" w:lineRule="auto"/>
      </w:pPr>
      <w:r>
        <w:separator/>
      </w:r>
    </w:p>
  </w:endnote>
  <w:endnote w:type="continuationSeparator" w:id="0">
    <w:p w14:paraId="1597C995" w14:textId="77777777" w:rsidR="00617733" w:rsidRDefault="00617733" w:rsidP="00433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812835044"/>
      <w:docPartObj>
        <w:docPartGallery w:val="Page Numbers (Bottom of Page)"/>
        <w:docPartUnique/>
      </w:docPartObj>
    </w:sdtPr>
    <w:sdtContent>
      <w:p w14:paraId="45ED9AD9" w14:textId="16D78E7A" w:rsidR="00433829" w:rsidRPr="00433829" w:rsidRDefault="00433829">
        <w:pPr>
          <w:pStyle w:val="AltBilgi"/>
          <w:jc w:val="right"/>
          <w:rPr>
            <w:rFonts w:ascii="Times New Roman" w:hAnsi="Times New Roman" w:cs="Times New Roman"/>
          </w:rPr>
        </w:pPr>
        <w:r w:rsidRPr="00433829">
          <w:rPr>
            <w:rFonts w:ascii="Times New Roman" w:hAnsi="Times New Roman" w:cs="Times New Roman"/>
          </w:rPr>
          <w:fldChar w:fldCharType="begin"/>
        </w:r>
        <w:r w:rsidRPr="00433829">
          <w:rPr>
            <w:rFonts w:ascii="Times New Roman" w:hAnsi="Times New Roman" w:cs="Times New Roman"/>
          </w:rPr>
          <w:instrText>PAGE   \* MERGEFORMAT</w:instrText>
        </w:r>
        <w:r w:rsidRPr="00433829">
          <w:rPr>
            <w:rFonts w:ascii="Times New Roman" w:hAnsi="Times New Roman" w:cs="Times New Roman"/>
          </w:rPr>
          <w:fldChar w:fldCharType="separate"/>
        </w:r>
        <w:r w:rsidRPr="00433829">
          <w:rPr>
            <w:rFonts w:ascii="Times New Roman" w:hAnsi="Times New Roman" w:cs="Times New Roman"/>
          </w:rPr>
          <w:t>2</w:t>
        </w:r>
        <w:r w:rsidRPr="00433829">
          <w:rPr>
            <w:rFonts w:ascii="Times New Roman" w:hAnsi="Times New Roman" w:cs="Times New Roman"/>
          </w:rPr>
          <w:fldChar w:fldCharType="end"/>
        </w:r>
      </w:p>
    </w:sdtContent>
  </w:sdt>
  <w:p w14:paraId="7C6A3303" w14:textId="77777777" w:rsidR="00433829" w:rsidRPr="00433829" w:rsidRDefault="00433829">
    <w:pPr>
      <w:pStyle w:val="AltBilgi"/>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C1308" w14:textId="77777777" w:rsidR="00617733" w:rsidRDefault="00617733" w:rsidP="00433829">
      <w:pPr>
        <w:spacing w:after="0" w:line="240" w:lineRule="auto"/>
      </w:pPr>
      <w:r>
        <w:separator/>
      </w:r>
    </w:p>
  </w:footnote>
  <w:footnote w:type="continuationSeparator" w:id="0">
    <w:p w14:paraId="1916B919" w14:textId="77777777" w:rsidR="00617733" w:rsidRDefault="00617733" w:rsidP="004338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D07B9"/>
    <w:multiLevelType w:val="hybridMultilevel"/>
    <w:tmpl w:val="F862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7F35B1"/>
    <w:multiLevelType w:val="multilevel"/>
    <w:tmpl w:val="4E6866FA"/>
    <w:lvl w:ilvl="0">
      <w:start w:val="1"/>
      <w:numFmt w:val="decimal"/>
      <w:pStyle w:val="Balk1"/>
      <w:lvlText w:val="%1."/>
      <w:lvlJc w:val="left"/>
      <w:pPr>
        <w:ind w:left="360" w:hanging="360"/>
      </w:pPr>
      <w:rPr>
        <w:rFonts w:hint="default"/>
      </w:rPr>
    </w:lvl>
    <w:lvl w:ilvl="1">
      <w:start w:val="1"/>
      <w:numFmt w:val="decimal"/>
      <w:pStyle w:val="Balk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475F7B"/>
    <w:multiLevelType w:val="hybridMultilevel"/>
    <w:tmpl w:val="59A6AE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18979454">
    <w:abstractNumId w:val="2"/>
  </w:num>
  <w:num w:numId="2" w16cid:durableId="1834832888">
    <w:abstractNumId w:val="1"/>
  </w:num>
  <w:num w:numId="3" w16cid:durableId="654529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09"/>
    <w:rsid w:val="000F2E8C"/>
    <w:rsid w:val="000F3004"/>
    <w:rsid w:val="00146E10"/>
    <w:rsid w:val="00433829"/>
    <w:rsid w:val="00550A0F"/>
    <w:rsid w:val="00591FF0"/>
    <w:rsid w:val="00617733"/>
    <w:rsid w:val="006251BF"/>
    <w:rsid w:val="00631E18"/>
    <w:rsid w:val="006A233B"/>
    <w:rsid w:val="00725DCF"/>
    <w:rsid w:val="00747DA7"/>
    <w:rsid w:val="00790661"/>
    <w:rsid w:val="009E62CD"/>
    <w:rsid w:val="00B45DD8"/>
    <w:rsid w:val="00B6681D"/>
    <w:rsid w:val="00C06340"/>
    <w:rsid w:val="00C34509"/>
    <w:rsid w:val="00C94357"/>
    <w:rsid w:val="00DC3867"/>
    <w:rsid w:val="00E514F9"/>
    <w:rsid w:val="00EE7CB4"/>
    <w:rsid w:val="00FD0ED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A7AEB"/>
  <w15:chartTrackingRefBased/>
  <w15:docId w15:val="{48176F7F-5575-439A-9622-876EBF2C4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09"/>
    <w:rPr>
      <w:lang w:val="tr-TR"/>
      <w14:ligatures w14:val="none"/>
    </w:rPr>
  </w:style>
  <w:style w:type="paragraph" w:styleId="Balk1">
    <w:name w:val="heading 1"/>
    <w:basedOn w:val="dzMetinTimes11"/>
    <w:next w:val="Normal"/>
    <w:link w:val="Balk1Char"/>
    <w:uiPriority w:val="9"/>
    <w:qFormat/>
    <w:rsid w:val="00FD0ED9"/>
    <w:pPr>
      <w:numPr>
        <w:numId w:val="2"/>
      </w:numPr>
      <w:outlineLvl w:val="0"/>
    </w:pPr>
    <w:rPr>
      <w:b/>
      <w:bCs/>
    </w:rPr>
  </w:style>
  <w:style w:type="paragraph" w:styleId="Balk2">
    <w:name w:val="heading 2"/>
    <w:basedOn w:val="dzMetinTimes11"/>
    <w:next w:val="Normal"/>
    <w:link w:val="Balk2Char"/>
    <w:uiPriority w:val="9"/>
    <w:unhideWhenUsed/>
    <w:qFormat/>
    <w:rsid w:val="00FD0ED9"/>
    <w:pPr>
      <w:numPr>
        <w:ilvl w:val="1"/>
        <w:numId w:val="2"/>
      </w:numPr>
      <w:ind w:left="426"/>
      <w:outlineLvl w:val="1"/>
    </w:pPr>
    <w:rPr>
      <w:b/>
      <w:bCs/>
    </w:rPr>
  </w:style>
  <w:style w:type="paragraph" w:styleId="Balk3">
    <w:name w:val="heading 3"/>
    <w:basedOn w:val="Normal"/>
    <w:next w:val="Normal"/>
    <w:link w:val="Balk3Char"/>
    <w:uiPriority w:val="9"/>
    <w:semiHidden/>
    <w:unhideWhenUsed/>
    <w:qFormat/>
    <w:rsid w:val="00C3450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3450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3450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3450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3450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3450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3450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D0ED9"/>
    <w:rPr>
      <w:rFonts w:ascii="Times New Roman" w:hAnsi="Times New Roman" w:cs="Times New Roman"/>
      <w:b/>
      <w:bCs/>
      <w14:ligatures w14:val="none"/>
    </w:rPr>
  </w:style>
  <w:style w:type="character" w:customStyle="1" w:styleId="Balk2Char">
    <w:name w:val="Başlık 2 Char"/>
    <w:basedOn w:val="VarsaylanParagrafYazTipi"/>
    <w:link w:val="Balk2"/>
    <w:uiPriority w:val="9"/>
    <w:rsid w:val="00FD0ED9"/>
    <w:rPr>
      <w:rFonts w:ascii="Times New Roman" w:hAnsi="Times New Roman" w:cs="Times New Roman"/>
      <w:b/>
      <w:bCs/>
      <w14:ligatures w14:val="none"/>
    </w:rPr>
  </w:style>
  <w:style w:type="character" w:customStyle="1" w:styleId="Balk3Char">
    <w:name w:val="Başlık 3 Char"/>
    <w:basedOn w:val="VarsaylanParagrafYazTipi"/>
    <w:link w:val="Balk3"/>
    <w:uiPriority w:val="9"/>
    <w:semiHidden/>
    <w:rsid w:val="00C3450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3450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3450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3450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3450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3450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34509"/>
    <w:rPr>
      <w:rFonts w:eastAsiaTheme="majorEastAsia" w:cstheme="majorBidi"/>
      <w:color w:val="272727" w:themeColor="text1" w:themeTint="D8"/>
    </w:rPr>
  </w:style>
  <w:style w:type="paragraph" w:styleId="KonuBal">
    <w:name w:val="Title"/>
    <w:basedOn w:val="Normal"/>
    <w:next w:val="Normal"/>
    <w:link w:val="KonuBalChar"/>
    <w:uiPriority w:val="10"/>
    <w:qFormat/>
    <w:rsid w:val="00C345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3450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3450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3450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3450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34509"/>
    <w:rPr>
      <w:i/>
      <w:iCs/>
      <w:color w:val="404040" w:themeColor="text1" w:themeTint="BF"/>
    </w:rPr>
  </w:style>
  <w:style w:type="paragraph" w:styleId="ListeParagraf">
    <w:name w:val="List Paragraph"/>
    <w:basedOn w:val="Normal"/>
    <w:uiPriority w:val="34"/>
    <w:qFormat/>
    <w:rsid w:val="00C34509"/>
    <w:pPr>
      <w:ind w:left="720"/>
      <w:contextualSpacing/>
    </w:pPr>
  </w:style>
  <w:style w:type="character" w:styleId="GlVurgulama">
    <w:name w:val="Intense Emphasis"/>
    <w:basedOn w:val="VarsaylanParagrafYazTipi"/>
    <w:uiPriority w:val="21"/>
    <w:qFormat/>
    <w:rsid w:val="00C34509"/>
    <w:rPr>
      <w:i/>
      <w:iCs/>
      <w:color w:val="0F4761" w:themeColor="accent1" w:themeShade="BF"/>
    </w:rPr>
  </w:style>
  <w:style w:type="paragraph" w:styleId="GlAlnt">
    <w:name w:val="Intense Quote"/>
    <w:basedOn w:val="Normal"/>
    <w:next w:val="Normal"/>
    <w:link w:val="GlAlntChar"/>
    <w:uiPriority w:val="30"/>
    <w:qFormat/>
    <w:rsid w:val="00C345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34509"/>
    <w:rPr>
      <w:i/>
      <w:iCs/>
      <w:color w:val="0F4761" w:themeColor="accent1" w:themeShade="BF"/>
    </w:rPr>
  </w:style>
  <w:style w:type="character" w:styleId="GlBavuru">
    <w:name w:val="Intense Reference"/>
    <w:basedOn w:val="VarsaylanParagrafYazTipi"/>
    <w:uiPriority w:val="32"/>
    <w:qFormat/>
    <w:rsid w:val="00C34509"/>
    <w:rPr>
      <w:b/>
      <w:bCs/>
      <w:smallCaps/>
      <w:color w:val="0F4761" w:themeColor="accent1" w:themeShade="BF"/>
      <w:spacing w:val="5"/>
    </w:rPr>
  </w:style>
  <w:style w:type="paragraph" w:customStyle="1" w:styleId="TamMetinBalk">
    <w:name w:val="Tam Metin Başlık"/>
    <w:basedOn w:val="Normal"/>
    <w:link w:val="TamMetinBalkChar"/>
    <w:autoRedefine/>
    <w:qFormat/>
    <w:rsid w:val="00C34509"/>
    <w:pPr>
      <w:spacing w:after="0" w:line="276" w:lineRule="auto"/>
      <w:jc w:val="center"/>
    </w:pPr>
    <w:rPr>
      <w:rFonts w:ascii="Times New Roman" w:hAnsi="Times New Roman" w:cs="Times New Roman"/>
      <w:b/>
      <w:w w:val="105"/>
      <w:u w:color="000000"/>
      <w:lang w:eastAsia="tr-TR"/>
    </w:rPr>
  </w:style>
  <w:style w:type="character" w:customStyle="1" w:styleId="TamMetinBalkChar">
    <w:name w:val="Tam Metin Başlık Char"/>
    <w:basedOn w:val="VarsaylanParagrafYazTipi"/>
    <w:link w:val="TamMetinBalk"/>
    <w:rsid w:val="00C34509"/>
    <w:rPr>
      <w:rFonts w:ascii="Times New Roman" w:hAnsi="Times New Roman" w:cs="Times New Roman"/>
      <w:b/>
      <w:w w:val="105"/>
      <w:u w:color="000000"/>
      <w:lang w:val="tr-TR" w:eastAsia="tr-TR"/>
      <w14:ligatures w14:val="none"/>
    </w:rPr>
  </w:style>
  <w:style w:type="paragraph" w:customStyle="1" w:styleId="dzMetinTimes11">
    <w:name w:val="düzMetinTimes11"/>
    <w:basedOn w:val="Normal"/>
    <w:link w:val="dzMetinTimes11Char"/>
    <w:qFormat/>
    <w:rsid w:val="00FD0ED9"/>
    <w:pPr>
      <w:spacing w:after="0" w:line="276" w:lineRule="auto"/>
      <w:jc w:val="both"/>
    </w:pPr>
    <w:rPr>
      <w:rFonts w:ascii="Times New Roman" w:hAnsi="Times New Roman" w:cs="Times New Roman"/>
      <w:lang w:val="en-GB"/>
    </w:rPr>
  </w:style>
  <w:style w:type="character" w:customStyle="1" w:styleId="dzMetinTimes11Char">
    <w:name w:val="düzMetinTimes11 Char"/>
    <w:basedOn w:val="VarsaylanParagrafYazTipi"/>
    <w:link w:val="dzMetinTimes11"/>
    <w:rsid w:val="00FD0ED9"/>
    <w:rPr>
      <w:rFonts w:ascii="Times New Roman" w:hAnsi="Times New Roman" w:cs="Times New Roman"/>
      <w14:ligatures w14:val="none"/>
    </w:rPr>
  </w:style>
  <w:style w:type="paragraph" w:customStyle="1" w:styleId="dzMetinReferanslar">
    <w:name w:val="düzMetinReferanslar"/>
    <w:basedOn w:val="dzMetinTimes11"/>
    <w:link w:val="dzMetinReferanslarChar"/>
    <w:qFormat/>
    <w:rsid w:val="00C34509"/>
    <w:pPr>
      <w:ind w:left="567" w:hanging="567"/>
      <w:jc w:val="left"/>
    </w:pPr>
    <w:rPr>
      <w:lang w:eastAsia="tr-TR"/>
    </w:rPr>
  </w:style>
  <w:style w:type="character" w:customStyle="1" w:styleId="dzMetinReferanslarChar">
    <w:name w:val="düzMetinReferanslar Char"/>
    <w:basedOn w:val="dzMetinTimes11Char"/>
    <w:link w:val="dzMetinReferanslar"/>
    <w:rsid w:val="00C34509"/>
    <w:rPr>
      <w:rFonts w:ascii="Times New Roman" w:hAnsi="Times New Roman" w:cs="Times New Roman"/>
      <w:lang w:eastAsia="tr-TR"/>
      <w14:ligatures w14:val="none"/>
    </w:rPr>
  </w:style>
  <w:style w:type="table" w:styleId="TabloKlavuzu">
    <w:name w:val="Table Grid"/>
    <w:basedOn w:val="NormalTablo"/>
    <w:uiPriority w:val="39"/>
    <w:rsid w:val="00631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aBaslik">
    <w:name w:val="Ana Baslik"/>
    <w:basedOn w:val="TamMetinBalk"/>
    <w:link w:val="AnaBaslikChar"/>
    <w:qFormat/>
    <w:rsid w:val="00FD0ED9"/>
    <w:rPr>
      <w:lang w:val="en-GB"/>
    </w:rPr>
  </w:style>
  <w:style w:type="character" w:customStyle="1" w:styleId="AnaBaslikChar">
    <w:name w:val="Ana Baslik Char"/>
    <w:basedOn w:val="TamMetinBalkChar"/>
    <w:link w:val="AnaBaslik"/>
    <w:rsid w:val="00FD0ED9"/>
    <w:rPr>
      <w:rFonts w:ascii="Times New Roman" w:hAnsi="Times New Roman" w:cs="Times New Roman"/>
      <w:b/>
      <w:w w:val="105"/>
      <w:u w:color="000000"/>
      <w:lang w:val="tr-TR" w:eastAsia="tr-TR"/>
      <w14:ligatures w14:val="none"/>
    </w:rPr>
  </w:style>
  <w:style w:type="paragraph" w:customStyle="1" w:styleId="TabloFigureSekilResimEtiketi">
    <w:name w:val="Tablo Figure Sekil Resim Etiketi"/>
    <w:basedOn w:val="Normal"/>
    <w:link w:val="TabloFigureSekilResimEtiketiChar"/>
    <w:qFormat/>
    <w:rsid w:val="00747DA7"/>
    <w:pPr>
      <w:spacing w:line="276" w:lineRule="auto"/>
    </w:pPr>
    <w:rPr>
      <w:rFonts w:ascii="Times New Roman" w:eastAsia="Times New Roman" w:hAnsi="Times New Roman" w:cs="Times New Roman"/>
      <w:b/>
      <w:i/>
      <w:iCs/>
      <w:lang w:val="en-GB"/>
    </w:rPr>
  </w:style>
  <w:style w:type="character" w:customStyle="1" w:styleId="TabloFigureSekilResimEtiketiChar">
    <w:name w:val="Tablo Figure Sekil Resim Etiketi Char"/>
    <w:basedOn w:val="VarsaylanParagrafYazTipi"/>
    <w:link w:val="TabloFigureSekilResimEtiketi"/>
    <w:rsid w:val="00747DA7"/>
    <w:rPr>
      <w:rFonts w:ascii="Times New Roman" w:eastAsia="Times New Roman" w:hAnsi="Times New Roman" w:cs="Times New Roman"/>
      <w:b/>
      <w:i/>
      <w:iCs/>
      <w14:ligatures w14:val="none"/>
    </w:rPr>
  </w:style>
  <w:style w:type="paragraph" w:styleId="stBilgi">
    <w:name w:val="header"/>
    <w:basedOn w:val="Normal"/>
    <w:link w:val="stBilgiChar"/>
    <w:uiPriority w:val="99"/>
    <w:unhideWhenUsed/>
    <w:rsid w:val="0043382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3829"/>
    <w:rPr>
      <w:lang w:val="tr-TR"/>
      <w14:ligatures w14:val="none"/>
    </w:rPr>
  </w:style>
  <w:style w:type="paragraph" w:styleId="AltBilgi">
    <w:name w:val="footer"/>
    <w:basedOn w:val="Normal"/>
    <w:link w:val="AltBilgiChar"/>
    <w:uiPriority w:val="99"/>
    <w:unhideWhenUsed/>
    <w:rsid w:val="0043382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3829"/>
    <w:rPr>
      <w:lang w:val="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2228</Words>
  <Characters>12704</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 Ersoy</dc:creator>
  <cp:keywords/>
  <dc:description/>
  <cp:lastModifiedBy>Halil Ersoy</cp:lastModifiedBy>
  <cp:revision>2</cp:revision>
  <dcterms:created xsi:type="dcterms:W3CDTF">2026-08-10T09:57:00Z</dcterms:created>
  <dcterms:modified xsi:type="dcterms:W3CDTF">2026-08-12T07:22:00Z</dcterms:modified>
</cp:coreProperties>
</file>