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967D2" w14:textId="2AD9D4C8" w:rsidR="00A21304" w:rsidRPr="00A21304" w:rsidRDefault="00DE404B" w:rsidP="00AB0815">
      <w:pPr>
        <w:pStyle w:val="AnaBaslik"/>
        <w:rPr>
          <w:lang w:val="tr-TR"/>
        </w:rPr>
      </w:pPr>
      <w:r>
        <w:rPr>
          <w:lang w:val="tr-TR"/>
        </w:rPr>
        <w:t xml:space="preserve">EĞİTİM </w:t>
      </w:r>
      <w:r w:rsidR="00A21304" w:rsidRPr="00A21304">
        <w:rPr>
          <w:lang w:val="tr-TR"/>
        </w:rPr>
        <w:t>TEKNOLOJ</w:t>
      </w:r>
      <w:r>
        <w:rPr>
          <w:lang w:val="tr-TR"/>
        </w:rPr>
        <w:t>İ</w:t>
      </w:r>
      <w:r w:rsidR="00A21304" w:rsidRPr="00A21304">
        <w:rPr>
          <w:lang w:val="tr-TR"/>
        </w:rPr>
        <w:t xml:space="preserve">LERİN </w:t>
      </w:r>
      <w:r>
        <w:rPr>
          <w:lang w:val="tr-TR"/>
        </w:rPr>
        <w:t>ENTEGRASYONU</w:t>
      </w:r>
      <w:r w:rsidR="00A21304" w:rsidRPr="00A21304">
        <w:rPr>
          <w:lang w:val="tr-TR"/>
        </w:rPr>
        <w:t xml:space="preserve"> </w:t>
      </w:r>
      <w:r w:rsidR="00A21304" w:rsidRPr="006F43E6">
        <w:rPr>
          <w:highlight w:val="yellow"/>
          <w:lang w:val="tr-TR"/>
        </w:rPr>
        <w:t>BAŞLIK</w:t>
      </w:r>
    </w:p>
    <w:p w14:paraId="6E10AAD8" w14:textId="77777777" w:rsidR="00A21304" w:rsidRPr="00A21304" w:rsidRDefault="00A21304" w:rsidP="00AB0815">
      <w:pPr>
        <w:pStyle w:val="dzMetinTimes11"/>
        <w:jc w:val="center"/>
        <w:rPr>
          <w:lang w:val="tr-TR"/>
        </w:rPr>
      </w:pPr>
    </w:p>
    <w:p w14:paraId="10770C38" w14:textId="77777777" w:rsidR="00A21304" w:rsidRPr="00A21304" w:rsidRDefault="00A21304" w:rsidP="00AB0815">
      <w:pPr>
        <w:pStyle w:val="dzMetinTimes11"/>
        <w:jc w:val="center"/>
        <w:rPr>
          <w:lang w:val="tr-TR"/>
        </w:rPr>
      </w:pPr>
      <w:r w:rsidRPr="00A21304">
        <w:rPr>
          <w:lang w:val="tr-TR"/>
        </w:rPr>
        <w:t>ID ###</w:t>
      </w:r>
    </w:p>
    <w:p w14:paraId="421C7B9D" w14:textId="77777777" w:rsidR="00A21304" w:rsidRPr="00A21304" w:rsidRDefault="00A21304" w:rsidP="00AB0815">
      <w:pPr>
        <w:pStyle w:val="dzMetinTimes11"/>
        <w:jc w:val="center"/>
        <w:rPr>
          <w:b/>
          <w:bCs/>
          <w:lang w:val="tr-TR"/>
        </w:rPr>
      </w:pPr>
      <w:r w:rsidRPr="00A21304">
        <w:rPr>
          <w:b/>
          <w:bCs/>
          <w:lang w:val="tr-TR"/>
        </w:rPr>
        <w:t>İlk Yazarın Tam Adı</w:t>
      </w:r>
    </w:p>
    <w:p w14:paraId="59BF0383" w14:textId="1F9FD471" w:rsidR="00A21304" w:rsidRPr="00A21304" w:rsidRDefault="00A21304" w:rsidP="00AB0815">
      <w:pPr>
        <w:pStyle w:val="dzMetinTimes11"/>
        <w:jc w:val="center"/>
        <w:rPr>
          <w:lang w:val="tr-TR"/>
        </w:rPr>
      </w:pPr>
      <w:r w:rsidRPr="00A21304">
        <w:rPr>
          <w:lang w:val="tr-TR"/>
        </w:rPr>
        <w:t>Kurum, Ülke</w:t>
      </w:r>
    </w:p>
    <w:p w14:paraId="0FF68B64" w14:textId="51A5A926" w:rsidR="00A21304" w:rsidRPr="00A21304" w:rsidRDefault="00A21304" w:rsidP="00AB0815">
      <w:pPr>
        <w:pStyle w:val="dzMetinTimes11"/>
        <w:jc w:val="center"/>
        <w:rPr>
          <w:lang w:val="tr-TR"/>
        </w:rPr>
      </w:pPr>
      <w:r w:rsidRPr="00A21304">
        <w:rPr>
          <w:lang w:val="tr-TR"/>
        </w:rPr>
        <w:t>ORCID: XXXX-YYYY-XXXX-YYYY</w:t>
      </w:r>
    </w:p>
    <w:p w14:paraId="004E23CB" w14:textId="77777777" w:rsidR="00A21304" w:rsidRPr="00A21304" w:rsidRDefault="00A21304" w:rsidP="00AB0815">
      <w:pPr>
        <w:pStyle w:val="dzMetinTimes11"/>
        <w:jc w:val="center"/>
        <w:rPr>
          <w:lang w:val="tr-TR"/>
        </w:rPr>
      </w:pPr>
    </w:p>
    <w:p w14:paraId="50BFD985" w14:textId="77777777" w:rsidR="00A21304" w:rsidRPr="00A21304" w:rsidRDefault="00A21304" w:rsidP="00AB0815">
      <w:pPr>
        <w:pStyle w:val="dzMetinTimes11"/>
        <w:jc w:val="center"/>
        <w:rPr>
          <w:b/>
          <w:bCs/>
          <w:lang w:val="tr-TR"/>
        </w:rPr>
      </w:pPr>
      <w:r w:rsidRPr="00A21304">
        <w:rPr>
          <w:b/>
          <w:bCs/>
          <w:lang w:val="tr-TR"/>
        </w:rPr>
        <w:t>İkinci Yazarın Tam Adı</w:t>
      </w:r>
    </w:p>
    <w:p w14:paraId="6B0894B0" w14:textId="284740D6" w:rsidR="00A21304" w:rsidRPr="00A21304" w:rsidRDefault="00A21304" w:rsidP="00AB0815">
      <w:pPr>
        <w:pStyle w:val="dzMetinTimes11"/>
        <w:jc w:val="center"/>
        <w:rPr>
          <w:lang w:val="tr-TR"/>
        </w:rPr>
      </w:pPr>
      <w:r>
        <w:rPr>
          <w:lang w:val="tr-TR"/>
        </w:rPr>
        <w:t>Kurum</w:t>
      </w:r>
      <w:r w:rsidRPr="00A21304">
        <w:rPr>
          <w:lang w:val="tr-TR"/>
        </w:rPr>
        <w:t>, Ülke</w:t>
      </w:r>
    </w:p>
    <w:p w14:paraId="433D1634" w14:textId="77777777" w:rsidR="00A21304" w:rsidRPr="00A21304" w:rsidRDefault="00A21304" w:rsidP="00AB0815">
      <w:pPr>
        <w:pStyle w:val="dzMetinTimes11"/>
        <w:jc w:val="center"/>
        <w:rPr>
          <w:lang w:val="tr-TR"/>
        </w:rPr>
      </w:pPr>
      <w:r w:rsidRPr="00A21304">
        <w:rPr>
          <w:lang w:val="tr-TR"/>
        </w:rPr>
        <w:t>ORCID: XXXX-YYYY-XXXX-YYYY</w:t>
      </w:r>
    </w:p>
    <w:p w14:paraId="503A7159" w14:textId="77777777" w:rsidR="00A21304" w:rsidRPr="00A21304" w:rsidRDefault="00A21304" w:rsidP="00AB0815">
      <w:pPr>
        <w:widowControl w:val="0"/>
        <w:spacing w:before="6" w:after="0" w:line="276" w:lineRule="auto"/>
        <w:rPr>
          <w:rFonts w:ascii="Times New Roman" w:eastAsia="Times New Roman" w:hAnsi="Times New Roman" w:cs="Times New Roman"/>
        </w:rPr>
      </w:pPr>
    </w:p>
    <w:p w14:paraId="6D1B347A" w14:textId="77777777" w:rsidR="00A21304" w:rsidRPr="00A21304" w:rsidRDefault="00A21304" w:rsidP="00DE404B">
      <w:pPr>
        <w:pStyle w:val="Balk1"/>
        <w:numPr>
          <w:ilvl w:val="0"/>
          <w:numId w:val="0"/>
        </w:numPr>
        <w:jc w:val="center"/>
        <w:rPr>
          <w:lang w:val="tr-TR"/>
        </w:rPr>
      </w:pPr>
      <w:r w:rsidRPr="00A21304">
        <w:rPr>
          <w:lang w:val="tr-TR"/>
        </w:rPr>
        <w:t>Özet</w:t>
      </w:r>
    </w:p>
    <w:p w14:paraId="47B921A8" w14:textId="77777777" w:rsidR="00A21304" w:rsidRPr="00A21304" w:rsidRDefault="00A21304" w:rsidP="00AB0815">
      <w:pPr>
        <w:pStyle w:val="dzMetinTimes11"/>
        <w:rPr>
          <w:lang w:val="tr-TR"/>
        </w:rPr>
      </w:pPr>
      <w:r w:rsidRPr="00A21304">
        <w:rPr>
          <w:lang w:val="tr-TR"/>
        </w:rPr>
        <w:t xml:space="preserve">Teknolojinin modern eğitim çerçevelerine entegrasyonu, bilginin nasıl aktarıldığını, erişildiğini ve değerlendirildiğini köklü bir şekilde yeniden şekillendirmiştir. Dijital araçlar tamamlayıcı sınıf yardımcılarından pedagojik dönüşümün temel itici güçlerine dönüşürken, dünya çapındaki eğitim kurumları geleneksel öğretim paradigmalarını aktif olarak yeniden değerlendirmektedir. Bu özet, yapay zekadan uyarlanabilir öğrenme platformlarından bulut tabanlı işbirlikçi sistemlere kadar uzanan modern eğitim teknolojilerinin öğrenci katılımı, akademik performans ve öğretim etkinliği üzerindeki çok yönlü etkisini inceler. Çağdaş literatürün bir sentezi, teknolojiyle geliştirilen öğrenme ortamlarının kişiselleştirilmiş yollar geliştirdiğini, eğitimcilerin çeşitli öğrenme hızları, </w:t>
      </w:r>
      <w:proofErr w:type="spellStart"/>
      <w:r w:rsidRPr="00A21304">
        <w:rPr>
          <w:lang w:val="tr-TR"/>
        </w:rPr>
        <w:t>nöroçeşitli</w:t>
      </w:r>
      <w:proofErr w:type="spellEnd"/>
      <w:r w:rsidRPr="00A21304">
        <w:rPr>
          <w:lang w:val="tr-TR"/>
        </w:rPr>
        <w:t xml:space="preserve"> ihtiyaçlar ve bireysel çalışma tercihlerini karşılayabilmesini sağladığını göstermektedir. Etkileşimli simülasyonlar, oyunlaştırılmış öğeler ve otomatik gerçek zamanlı geri bildirim mekanizmaları, öğrenen motivasyonunu ve bilgi </w:t>
      </w:r>
      <w:proofErr w:type="spellStart"/>
      <w:r w:rsidRPr="00A21304">
        <w:rPr>
          <w:lang w:val="tr-TR"/>
        </w:rPr>
        <w:t>aklımında</w:t>
      </w:r>
      <w:proofErr w:type="spellEnd"/>
      <w:r w:rsidRPr="00A21304">
        <w:rPr>
          <w:lang w:val="tr-TR"/>
        </w:rPr>
        <w:t xml:space="preserve"> kalmayı önemli ölçüde artırır. Ayrıca, dijital platformlar uzun süredir devam eden coğrafi ve sosyoekonomik engelleri ortadan kaldırarak, geleneksel olmayan, ömür boyu ve uzaktan öğrenenler için yüksek kaliteli akademik kaynaklara eşi benzeri görülmemiş erişim sunar. Ancak, teknolojinin eğitime hızlı entegrasyonu karmaşık zorluklar getirmektedir. Dijital uçurum hâlâ kalıcı bir endişe olarak kalıyor; donanım erişimi ve yüksek hızlı internet bağlantısındaki eşitsizlikler mevcut eğitim eşitsizliklerini daha da </w:t>
      </w:r>
      <w:proofErr w:type="spellStart"/>
      <w:r w:rsidRPr="00A21304">
        <w:rPr>
          <w:lang w:val="tr-TR"/>
        </w:rPr>
        <w:t>köteleştirme</w:t>
      </w:r>
      <w:proofErr w:type="spellEnd"/>
      <w:r w:rsidRPr="00A21304">
        <w:rPr>
          <w:lang w:val="tr-TR"/>
        </w:rPr>
        <w:t xml:space="preserve"> tehdidi taşıyor. Ayrıca, dijital araçların etkili şekilde kullanılması, teknolojinin temel öğrenme hedeflerinden uzaklaştırmak yerine zenginleştirmesini sağlamak için eğitimcilerin sürekli profesyonel gelişimini gerektiriyor. Öğrenci veri gizliliği, etik yapay zeka kullanımı ve bilişsel aşırı uyarılma ile ilgili sorunlar, kurumsal benimseme stratejilerini daha da karmaşıklaştırıyor. Sonuç olarak, teknoloji kaliteli pedagojinin yerine geçmez, sağlam eğitim tasarımıyla entegre edildiğinde güçlü bir katalizör görevi görür. Gelecekteki eğitim politikası, dijital öğrenmenin potansiyelini tam olarak gerçekleştirmek için adil erişim, sağlam altyapı ve sürekli öğretmen desteğine öncelik vermelidir. Teknolojik yeniliği insan merkezli öğretimle dengeleyerek, eğitimciler kapsayıcı, uyum sağlayabilir ve geleceğe hazır öğrenme ortamları oluşturabilirler. </w:t>
      </w:r>
      <w:r w:rsidRPr="00A21304">
        <w:rPr>
          <w:highlight w:val="yellow"/>
          <w:lang w:val="tr-TR"/>
        </w:rPr>
        <w:t>Maksimum 300 kelime</w:t>
      </w:r>
    </w:p>
    <w:p w14:paraId="7E1EEAD7" w14:textId="77777777" w:rsidR="00790661" w:rsidRPr="00A21304" w:rsidRDefault="00790661" w:rsidP="00FD0ED9">
      <w:pPr>
        <w:pStyle w:val="dzMetinTimes11"/>
        <w:rPr>
          <w:lang w:val="tr-TR"/>
        </w:rPr>
      </w:pPr>
    </w:p>
    <w:p w14:paraId="4B00A976" w14:textId="56E66747" w:rsidR="00A21304" w:rsidRDefault="00A21304" w:rsidP="003D6BF7">
      <w:pPr>
        <w:pStyle w:val="dzMetinTimes11"/>
        <w:rPr>
          <w:lang w:val="tr-TR"/>
        </w:rPr>
      </w:pPr>
      <w:r w:rsidRPr="00A21304">
        <w:rPr>
          <w:b/>
          <w:bCs/>
          <w:lang w:val="tr-TR"/>
        </w:rPr>
        <w:t>Anahtar Kelimeler</w:t>
      </w:r>
      <w:r w:rsidRPr="00A21304">
        <w:rPr>
          <w:lang w:val="tr-TR"/>
        </w:rPr>
        <w:t xml:space="preserve">: Eğitim Teknolojisi, Dijital Pedagoji, Uyarlanabilir Öğrenme, Dijital Bölünme, Öğrenci Katılımı. </w:t>
      </w:r>
      <w:r w:rsidRPr="00DE404B">
        <w:rPr>
          <w:highlight w:val="yellow"/>
          <w:lang w:val="tr-TR"/>
        </w:rPr>
        <w:t>En az 3, en fazla 5 anahtar kelime</w:t>
      </w:r>
      <w:r w:rsidR="0093189F" w:rsidRPr="00DE404B">
        <w:rPr>
          <w:lang w:val="tr-TR"/>
        </w:rPr>
        <w:t>.</w:t>
      </w:r>
    </w:p>
    <w:p w14:paraId="1EE52CBD" w14:textId="77777777" w:rsidR="0093189F" w:rsidRDefault="0093189F" w:rsidP="003D6BF7">
      <w:pPr>
        <w:pStyle w:val="dzMetinTimes11"/>
        <w:rPr>
          <w:lang w:val="tr-TR"/>
        </w:rPr>
      </w:pPr>
    </w:p>
    <w:p w14:paraId="037D6B58" w14:textId="3779A400" w:rsidR="00DE404B" w:rsidRPr="00790661" w:rsidRDefault="00DE404B" w:rsidP="00DE404B">
      <w:pPr>
        <w:pStyle w:val="AnaBaslik"/>
      </w:pPr>
      <w:r w:rsidRPr="00790661">
        <w:t>INTEGRAT</w:t>
      </w:r>
      <w:r>
        <w:t>I</w:t>
      </w:r>
      <w:r w:rsidRPr="00790661">
        <w:t xml:space="preserve">NG EDUCATIONAL TECHNOLOGY </w:t>
      </w:r>
      <w:r w:rsidRPr="00DE404B">
        <w:rPr>
          <w:highlight w:val="yellow"/>
        </w:rPr>
        <w:t>İNGİLİZCE BAŞLIK VE ÖZET</w:t>
      </w:r>
    </w:p>
    <w:p w14:paraId="7D8BD1CD" w14:textId="77777777" w:rsidR="00DE404B" w:rsidRPr="00790661" w:rsidRDefault="00DE404B" w:rsidP="00DE404B">
      <w:pPr>
        <w:pStyle w:val="dzMetinTimes11"/>
        <w:jc w:val="center"/>
      </w:pPr>
    </w:p>
    <w:p w14:paraId="04316417" w14:textId="77777777" w:rsidR="00DE404B" w:rsidRPr="00433829" w:rsidRDefault="00DE404B" w:rsidP="00DE404B">
      <w:pPr>
        <w:pStyle w:val="Balk1"/>
        <w:numPr>
          <w:ilvl w:val="0"/>
          <w:numId w:val="0"/>
        </w:numPr>
        <w:jc w:val="center"/>
      </w:pPr>
      <w:r w:rsidRPr="00433829">
        <w:t>Abstract</w:t>
      </w:r>
    </w:p>
    <w:p w14:paraId="75D96CCA" w14:textId="77777777" w:rsidR="00DE404B" w:rsidRPr="00790661" w:rsidRDefault="00DE404B" w:rsidP="00DE404B">
      <w:pPr>
        <w:pStyle w:val="dzMetinTimes11"/>
      </w:pPr>
      <w:r w:rsidRPr="00790661">
        <w:t xml:space="preserve">The integration of technology into modern educational frameworks has fundamentally reshaped how knowledge is transmitted, accessed, and evaluated. As digital tools transition from supplementary classroom aids to essential drivers of pedagogical transformation, educational institutions worldwide are actively re-evaluating traditional instructional paradigms. This abstract examines the multifaceted </w:t>
      </w:r>
      <w:r w:rsidRPr="00790661">
        <w:lastRenderedPageBreak/>
        <w:t>impact of modern educational technologies—ranging from artificial intelligence and adaptive learning platforms to cloud-based collaborative systems—on student engagement, academic performance, and instructional efficacy. A synthesis of contemporary literature demonstrates that technology-enhanced learning environments foster personalized pathways, enabling educators to accommodate diverse learning speeds, neurodivergent needs, and individual study preferences. Interactive simulations, gamified elements, and automated real-time feedback mechanisms significantly enhance learner motivation and knowledge retention. Furthermore, digital platforms dismantle long-standing geographical and socioeconomic barriers, offering unprecedented access to high-quality academic resources for non-traditional, lifelong, and remote learners. However, the rapid integration of technology in education introduces complex challenges. The digital divide remains a persistent concern, as disparities in hardware access and high-speed internet connectivity threaten to exacerbate existing educational inequalities. Additionally, the effective deployment of digital tools requires sustained professional development for educators to ensure technology enriches rather than distracts from core learning goals. Issues surrounding student data privacy, ethical artificial intelligence utilization, and cognitive overstimulation further complicate institutional adoption strategies.</w:t>
      </w:r>
      <w:r>
        <w:t xml:space="preserve"> </w:t>
      </w:r>
      <w:r w:rsidRPr="00790661">
        <w:t>Ultimately, technology serves not as a substitute for quality pedagogy, but as a powerful catalyst when integrated alongside sound instructional design. Future educational policy must prioritize equitable access, robust infrastructure, and continuous teacher support to fully realize the potential of digital learning. By balancing technological innovation with human-</w:t>
      </w:r>
      <w:proofErr w:type="spellStart"/>
      <w:r w:rsidRPr="00790661">
        <w:t>centered</w:t>
      </w:r>
      <w:proofErr w:type="spellEnd"/>
      <w:r w:rsidRPr="00790661">
        <w:t xml:space="preserve"> teaching, educators can construct inclusive, adaptable, and future-ready learning environments.</w:t>
      </w:r>
      <w:r>
        <w:t xml:space="preserve"> </w:t>
      </w:r>
      <w:r w:rsidRPr="00433829">
        <w:rPr>
          <w:highlight w:val="yellow"/>
        </w:rPr>
        <w:t>Maximum 300 words</w:t>
      </w:r>
    </w:p>
    <w:p w14:paraId="312F888E" w14:textId="77777777" w:rsidR="00DE404B" w:rsidRPr="00790661" w:rsidRDefault="00DE404B" w:rsidP="00DE404B">
      <w:pPr>
        <w:pStyle w:val="dzMetinTimes11"/>
      </w:pPr>
    </w:p>
    <w:p w14:paraId="07967D24" w14:textId="77777777" w:rsidR="00DE404B" w:rsidRPr="00790661" w:rsidRDefault="00DE404B" w:rsidP="00DE404B">
      <w:pPr>
        <w:pStyle w:val="dzMetinTimes11"/>
      </w:pPr>
      <w:r w:rsidRPr="00790661">
        <w:rPr>
          <w:b/>
          <w:bCs/>
        </w:rPr>
        <w:t>Keywords</w:t>
      </w:r>
      <w:r w:rsidRPr="00790661">
        <w:t>: Educational Technology, Digital Pedagogy, Adaptive Learning, Digital Divide, Student Engagement</w:t>
      </w:r>
      <w:r>
        <w:t xml:space="preserve">. </w:t>
      </w:r>
      <w:r w:rsidRPr="00790661">
        <w:rPr>
          <w:highlight w:val="yellow"/>
        </w:rPr>
        <w:t>At least 3 at most 5 key words</w:t>
      </w:r>
    </w:p>
    <w:p w14:paraId="7371F0B3" w14:textId="77777777" w:rsidR="00A21304" w:rsidRPr="00A21304" w:rsidRDefault="00A21304" w:rsidP="003D6BF7">
      <w:pPr>
        <w:pStyle w:val="dzMetinTimes11"/>
        <w:rPr>
          <w:highlight w:val="yellow"/>
          <w:lang w:val="tr-TR"/>
        </w:rPr>
      </w:pPr>
    </w:p>
    <w:p w14:paraId="752C0540" w14:textId="77777777" w:rsidR="00A21304" w:rsidRPr="00A21304" w:rsidRDefault="00A21304" w:rsidP="00A21304">
      <w:pPr>
        <w:pStyle w:val="Balk1"/>
        <w:tabs>
          <w:tab w:val="num" w:pos="720"/>
        </w:tabs>
        <w:rPr>
          <w:lang w:val="tr-TR"/>
        </w:rPr>
      </w:pPr>
      <w:proofErr w:type="spellStart"/>
      <w:r w:rsidRPr="00A21304">
        <w:t>Giriş</w:t>
      </w:r>
      <w:proofErr w:type="spellEnd"/>
    </w:p>
    <w:p w14:paraId="34D25CC4" w14:textId="77777777" w:rsidR="00A21304" w:rsidRPr="00A21304" w:rsidRDefault="00A21304" w:rsidP="003D6BF7">
      <w:pPr>
        <w:pStyle w:val="dzMetinTimes11"/>
        <w:rPr>
          <w:lang w:val="tr-TR"/>
        </w:rPr>
      </w:pPr>
      <w:r w:rsidRPr="00A21304">
        <w:rPr>
          <w:lang w:val="tr-TR"/>
        </w:rPr>
        <w:t>Son yirmi yılda bilgi ve iletişim teknolojilerinin (BİT) hızlı evrimi, küresel yükseköğretim ve K-12 sistemlerinde derin bir paradigma değişimini başlatmıştır. Tarihsel olarak, sınıftaki dijital teknoloji sadece ek idari araçlar veya yerel donanımlarla sınırlıydı; Günümüzde, öğretim, değerlendirme ve müfredat geliştirme için temel altyapı olarak hizmet vermektedir. Modern eğitim ortamları, pedagojik uygulamaları optimize etmek için bulut destekli öğrenme yönetim sistemlerine (LMS), yapay zekaya (AI), dinamik simülasyonlara ve veri analitiği giderek daha fazla dayanmaktadır.</w:t>
      </w:r>
    </w:p>
    <w:p w14:paraId="57001E46" w14:textId="77777777" w:rsidR="000F2E8C" w:rsidRPr="00A21304" w:rsidRDefault="000F2E8C" w:rsidP="00FD0ED9">
      <w:pPr>
        <w:pStyle w:val="dzMetinTimes11"/>
        <w:rPr>
          <w:lang w:val="tr-TR"/>
        </w:rPr>
      </w:pPr>
    </w:p>
    <w:p w14:paraId="3AB37B2F" w14:textId="0699F135" w:rsidR="00A21304" w:rsidRPr="0093189F" w:rsidRDefault="00A21304" w:rsidP="00A21304">
      <w:pPr>
        <w:pStyle w:val="Balk1"/>
        <w:tabs>
          <w:tab w:val="num" w:pos="720"/>
        </w:tabs>
        <w:rPr>
          <w:lang w:val="tr-TR"/>
        </w:rPr>
      </w:pPr>
      <w:r w:rsidRPr="0093189F">
        <w:rPr>
          <w:lang w:val="tr-TR"/>
        </w:rPr>
        <w:t>Alanyazın</w:t>
      </w:r>
    </w:p>
    <w:p w14:paraId="12899B1C" w14:textId="77777777" w:rsidR="00A21304" w:rsidRPr="00A21304" w:rsidRDefault="00A21304" w:rsidP="00D93C98">
      <w:pPr>
        <w:pStyle w:val="dzMetinTimes11"/>
        <w:rPr>
          <w:lang w:val="tr-TR"/>
        </w:rPr>
      </w:pPr>
      <w:r w:rsidRPr="00A21304">
        <w:rPr>
          <w:lang w:val="tr-TR"/>
        </w:rPr>
        <w:t>Eğitim teknolojisiyle ilgili akademik çalışmalar çeşitli teorik çerçeveleri ve ampirik boyutları kapsar. Eğitimdeki mevcut teknolojinin durumunu değerlendirmek için mevcut literatür üç tematik direğe ayrılabilir: pedagojik dönüşüm, dijital eşitlik ve yapısal uygulama zorlukları.</w:t>
      </w:r>
    </w:p>
    <w:p w14:paraId="44103D44" w14:textId="77777777" w:rsidR="00A21304" w:rsidRPr="00A21304" w:rsidRDefault="00A21304" w:rsidP="00D93C98">
      <w:pPr>
        <w:pStyle w:val="dzMetinTimes11"/>
        <w:rPr>
          <w:lang w:val="tr-TR"/>
        </w:rPr>
      </w:pPr>
    </w:p>
    <w:p w14:paraId="3E0B271B" w14:textId="77777777" w:rsidR="00A21304" w:rsidRPr="0093189F" w:rsidRDefault="00A21304" w:rsidP="00A21304">
      <w:pPr>
        <w:pStyle w:val="Balk2"/>
        <w:tabs>
          <w:tab w:val="num" w:pos="1440"/>
        </w:tabs>
        <w:rPr>
          <w:lang w:val="tr-TR"/>
        </w:rPr>
      </w:pPr>
      <w:r w:rsidRPr="0093189F">
        <w:rPr>
          <w:lang w:val="tr-TR"/>
        </w:rPr>
        <w:t>Pedagojik Dönüşüm ve Uyarlanabilir Öğrenme</w:t>
      </w:r>
    </w:p>
    <w:p w14:paraId="4CE802A3" w14:textId="77777777" w:rsidR="00A21304" w:rsidRPr="00A21304" w:rsidRDefault="00A21304" w:rsidP="00D93C98">
      <w:pPr>
        <w:pStyle w:val="dzMetinTimes11"/>
        <w:rPr>
          <w:lang w:val="tr-TR"/>
        </w:rPr>
      </w:pPr>
      <w:r w:rsidRPr="00A21304">
        <w:rPr>
          <w:lang w:val="tr-TR"/>
        </w:rPr>
        <w:t xml:space="preserve">Çağdaş eğitim literatürü, pasif, eğitmen tarafından </w:t>
      </w:r>
      <w:proofErr w:type="spellStart"/>
      <w:r w:rsidRPr="00A21304">
        <w:rPr>
          <w:lang w:val="tr-TR"/>
        </w:rPr>
        <w:t>dörtnel</w:t>
      </w:r>
      <w:proofErr w:type="spellEnd"/>
      <w:r w:rsidRPr="00A21304">
        <w:rPr>
          <w:lang w:val="tr-TR"/>
        </w:rPr>
        <w:t xml:space="preserve"> modellerden aktif, öğrenci ağırlıklı öğrenme ortamlarına geçişi yoğun şekilde vurgular. </w:t>
      </w:r>
      <w:proofErr w:type="spellStart"/>
      <w:r w:rsidRPr="00A21304">
        <w:rPr>
          <w:lang w:val="tr-TR"/>
        </w:rPr>
        <w:t>Constructivizm</w:t>
      </w:r>
      <w:proofErr w:type="spellEnd"/>
      <w:r w:rsidRPr="00A21304">
        <w:rPr>
          <w:lang w:val="tr-TR"/>
        </w:rPr>
        <w:t xml:space="preserve"> ve </w:t>
      </w:r>
      <w:proofErr w:type="spellStart"/>
      <w:r w:rsidRPr="00A21304">
        <w:rPr>
          <w:lang w:val="tr-TR"/>
        </w:rPr>
        <w:t>connectivizm</w:t>
      </w:r>
      <w:proofErr w:type="spellEnd"/>
      <w:r w:rsidRPr="00A21304">
        <w:rPr>
          <w:lang w:val="tr-TR"/>
        </w:rPr>
        <w:t xml:space="preserve"> temel teorileri üzerine inşa edilen araştırmacılar (Siemens, 2005), modern yazılım araçlarının öğrencilerin iş birliği ve kendi kendine yönlendirilmiş keşif yoluyla bilgi inşa etmelerini nasıl güçlendirdiğini vurgular.</w:t>
      </w:r>
    </w:p>
    <w:p w14:paraId="7BB9FA28" w14:textId="77777777" w:rsidR="00A21304" w:rsidRPr="00A21304" w:rsidRDefault="00A21304" w:rsidP="00D93C98">
      <w:pPr>
        <w:pStyle w:val="dzMetinTimes11"/>
        <w:rPr>
          <w:lang w:val="tr-TR"/>
        </w:rPr>
      </w:pPr>
    </w:p>
    <w:p w14:paraId="28BED3A8" w14:textId="77777777" w:rsidR="00A21304" w:rsidRPr="00A21304" w:rsidRDefault="00A21304" w:rsidP="00D93C98">
      <w:pPr>
        <w:pStyle w:val="dzMetinTimes11"/>
        <w:rPr>
          <w:lang w:val="tr-TR"/>
        </w:rPr>
      </w:pPr>
      <w:r w:rsidRPr="00A21304">
        <w:rPr>
          <w:lang w:val="tr-TR"/>
        </w:rPr>
        <w:t xml:space="preserve">Uyarlanabilir öğrenme sistemleri üzerine yapılan son çalışmalar, yapay zeka destekli yazılımların bireysel öğrenci ilerlemesini gerçek zamanlı analiz edebildiğini, içerik zorluğunu ve öğretim temposunu bireysel bilişsel profillere uyacak şekilde ayarlayabildiğini göstermektedir. Ayrıca, oyunlaştırılmış mekanikler ve etkileşimli simülasyonların entegrasyonu, STEM ve beşeri bilimler disiplinlerinde içsel </w:t>
      </w:r>
      <w:r w:rsidRPr="00A21304">
        <w:rPr>
          <w:lang w:val="tr-TR"/>
        </w:rPr>
        <w:lastRenderedPageBreak/>
        <w:t>motivasyon, kavramsal kalıcılık ve aktif problem çözme becerilerinin yükselmesiyle tutarlı bir şekilde ilişkilendirilmiştir.</w:t>
      </w:r>
    </w:p>
    <w:p w14:paraId="5DC45747" w14:textId="77777777" w:rsidR="000F2E8C" w:rsidRPr="00A21304" w:rsidRDefault="000F2E8C" w:rsidP="00FD0ED9">
      <w:pPr>
        <w:pStyle w:val="dzMetinTimes11"/>
        <w:rPr>
          <w:lang w:val="tr-TR"/>
        </w:rPr>
      </w:pPr>
    </w:p>
    <w:p w14:paraId="046FAD7D" w14:textId="77777777" w:rsidR="00A21304" w:rsidRPr="0093189F" w:rsidRDefault="00A21304" w:rsidP="00A21304">
      <w:pPr>
        <w:pStyle w:val="Balk2"/>
        <w:tabs>
          <w:tab w:val="num" w:pos="1440"/>
        </w:tabs>
        <w:rPr>
          <w:lang w:val="tr-TR"/>
        </w:rPr>
      </w:pPr>
      <w:r w:rsidRPr="0093189F">
        <w:rPr>
          <w:lang w:val="tr-TR"/>
        </w:rPr>
        <w:t>Erişim, Kapsayıcılık ve Dijital Bölünme</w:t>
      </w:r>
    </w:p>
    <w:p w14:paraId="4B5F5406" w14:textId="77777777" w:rsidR="00A21304" w:rsidRPr="00A21304" w:rsidRDefault="00A21304" w:rsidP="00E1750E">
      <w:pPr>
        <w:pStyle w:val="dzMetinTimes11"/>
        <w:rPr>
          <w:lang w:val="tr-TR"/>
        </w:rPr>
      </w:pPr>
      <w:r w:rsidRPr="00A21304">
        <w:rPr>
          <w:lang w:val="tr-TR"/>
        </w:rPr>
        <w:t xml:space="preserve">Teknolojiyle geliştirilmiş öğrenmenin teorik avantajları iyi belgelenmiş olsa </w:t>
      </w:r>
      <w:proofErr w:type="gramStart"/>
      <w:r w:rsidRPr="00A21304">
        <w:rPr>
          <w:lang w:val="tr-TR"/>
        </w:rPr>
        <w:t>da,</w:t>
      </w:r>
      <w:proofErr w:type="gramEnd"/>
      <w:r w:rsidRPr="00A21304">
        <w:rPr>
          <w:lang w:val="tr-TR"/>
        </w:rPr>
        <w:t xml:space="preserve"> akademisyenler bu faydaların eşit dağılmadığını vurguluyor. "Dijital ayrım" kavramı, basit donanım erişilebilirliğinden bant genişliği kalitesi, dijital okuryazarlık ve sosyoekonomik bağlamı kapsayan karmaşık bir matrise evrilmiştir.</w:t>
      </w:r>
    </w:p>
    <w:p w14:paraId="23274C30" w14:textId="77777777" w:rsidR="00A21304" w:rsidRPr="00A21304" w:rsidRDefault="00A21304" w:rsidP="00E1750E">
      <w:pPr>
        <w:pStyle w:val="dzMetinTimes11"/>
        <w:rPr>
          <w:lang w:val="tr-TR"/>
        </w:rPr>
      </w:pPr>
    </w:p>
    <w:p w14:paraId="35A29765" w14:textId="77777777" w:rsidR="00A21304" w:rsidRPr="00A21304" w:rsidRDefault="00A21304" w:rsidP="00E1750E">
      <w:pPr>
        <w:pStyle w:val="dzMetinTimes11"/>
        <w:rPr>
          <w:lang w:val="tr-TR"/>
        </w:rPr>
      </w:pPr>
      <w:r w:rsidRPr="00A21304">
        <w:rPr>
          <w:lang w:val="tr-TR"/>
        </w:rPr>
        <w:t>Araştırmalar, kaynakları az veya kırsal bölgelerdeki öğrencilerin sıklıkla kalıcı bağlantı eksiklikleriyle karşılaştığını ve bunun asenkron veya medya ağırlıklı öğrenme ortamlarına katılma yeteneklerini ciddi şekilde kısıtladığını göstermektedir. Sonuç olarak, son literatür, teknolojinin mevcut başarı farklarını genişletmesini önlemek için açık eğitim kaynaklarını (OER), mobil dostu içerik sunumunu ve donanım sübvansiyonlarını önceliklendiren "dijital eşitlik çerçeveleri" çağrısında bulunuyor.</w:t>
      </w:r>
    </w:p>
    <w:p w14:paraId="3996BBE2" w14:textId="77777777" w:rsidR="00A21304" w:rsidRPr="00A21304" w:rsidRDefault="00A21304" w:rsidP="00E1750E">
      <w:pPr>
        <w:pStyle w:val="dzMetinTimes11"/>
        <w:rPr>
          <w:lang w:val="tr-TR"/>
        </w:rPr>
      </w:pPr>
    </w:p>
    <w:p w14:paraId="66B29DCC" w14:textId="77777777" w:rsidR="00A21304" w:rsidRPr="0093189F" w:rsidRDefault="00A21304" w:rsidP="00A21304">
      <w:pPr>
        <w:pStyle w:val="Balk2"/>
        <w:tabs>
          <w:tab w:val="num" w:pos="1440"/>
        </w:tabs>
        <w:rPr>
          <w:lang w:val="tr-TR"/>
        </w:rPr>
      </w:pPr>
      <w:r w:rsidRPr="0093189F">
        <w:rPr>
          <w:lang w:val="tr-TR"/>
        </w:rPr>
        <w:t>Öğretmen Hazırlığı ve Yapısal Entegrasyon</w:t>
      </w:r>
    </w:p>
    <w:p w14:paraId="6D5C8CFF" w14:textId="77777777" w:rsidR="00A21304" w:rsidRPr="00A21304" w:rsidRDefault="00A21304" w:rsidP="00E1750E">
      <w:pPr>
        <w:pStyle w:val="dzMetinTimes11"/>
        <w:rPr>
          <w:lang w:val="tr-TR"/>
        </w:rPr>
      </w:pPr>
      <w:r w:rsidRPr="00A21304">
        <w:rPr>
          <w:lang w:val="tr-TR"/>
        </w:rPr>
        <w:t>Literatürün önemli bir dalı, etkili teknoloji entegrasyonunun teknolojik beceri, pedagojik uzmanlık ve konu bilgisinin dengeli bir sinerjisini gerektirdiğini öne süren teknolojik pedagojik içerik bilgisi (TPACK) çerçevesine odaklanır.</w:t>
      </w:r>
    </w:p>
    <w:p w14:paraId="129A1670" w14:textId="77777777" w:rsidR="00A21304" w:rsidRPr="00A21304" w:rsidRDefault="00A21304" w:rsidP="00E1750E">
      <w:pPr>
        <w:pStyle w:val="dzMetinTimes11"/>
        <w:rPr>
          <w:lang w:val="tr-TR"/>
        </w:rPr>
      </w:pPr>
    </w:p>
    <w:p w14:paraId="3C5B8DA5" w14:textId="77777777" w:rsidR="00A21304" w:rsidRPr="00A21304" w:rsidRDefault="00A21304" w:rsidP="00E1750E">
      <w:pPr>
        <w:pStyle w:val="dzMetinTimes11"/>
        <w:rPr>
          <w:lang w:val="tr-TR"/>
        </w:rPr>
      </w:pPr>
      <w:r w:rsidRPr="00A21304">
        <w:rPr>
          <w:lang w:val="tr-TR"/>
        </w:rPr>
        <w:t>Ampirik bulgular, sadece bir sınıfa donanım veya yazılım eklemenin öğrenme sonuçlarını doğal olarak iyileştirmediğini göstermektedir. Bunun yerine, başarılı uygulama, eğitimciler için sürekli mesleki gelişime büyük ölçüde bağlıdır. Akademisyenler öğretmen direncini, sürekli teknik desteğin eksikliğini ve kurumsal ataleti dijital araçların pedagojik potansiyelini gerçekleştirmelerini engelleyen temel engeller olarak tekrar tekrar belirtmektedir.</w:t>
      </w:r>
    </w:p>
    <w:p w14:paraId="49EF53FB" w14:textId="77777777" w:rsidR="000F2E8C" w:rsidRPr="00A21304" w:rsidRDefault="000F2E8C" w:rsidP="00FD0ED9">
      <w:pPr>
        <w:pStyle w:val="dzMetinTimes11"/>
        <w:rPr>
          <w:lang w:val="tr-TR"/>
        </w:rPr>
      </w:pPr>
    </w:p>
    <w:p w14:paraId="5D59C01D" w14:textId="77777777" w:rsidR="00A21304" w:rsidRPr="0093189F" w:rsidRDefault="00A21304" w:rsidP="00A21304">
      <w:pPr>
        <w:pStyle w:val="Balk1"/>
        <w:tabs>
          <w:tab w:val="num" w:pos="720"/>
        </w:tabs>
        <w:rPr>
          <w:lang w:val="tr-TR"/>
        </w:rPr>
      </w:pPr>
      <w:r w:rsidRPr="0093189F">
        <w:rPr>
          <w:lang w:val="tr-TR"/>
        </w:rPr>
        <w:t>Metodoloji</w:t>
      </w:r>
    </w:p>
    <w:p w14:paraId="572C00D6" w14:textId="5AD73B1B" w:rsidR="00A21304" w:rsidRPr="00A21304" w:rsidRDefault="00A21304" w:rsidP="00DF7086">
      <w:pPr>
        <w:pStyle w:val="dzMetinTimes11"/>
        <w:rPr>
          <w:lang w:val="tr-TR"/>
        </w:rPr>
      </w:pPr>
      <w:r w:rsidRPr="00A21304">
        <w:rPr>
          <w:lang w:val="tr-TR"/>
        </w:rPr>
        <w:t>Çalışma, tam bir akademik yıl boyunca dört farklı yükseköğretim kurumunda gerçekleştirildi. Temsilci seçme sağlamak için, katılımcılar çeşitli akademik disiplinleri, sosyoekonomik geçmişleri ve eğitim formatlarını (tamamen çevrimiçi, hibrit ve geleneksel yüz yüze) kapsayan tabakalı rastgele örnekleme tekniği kullanılarak seçildi. Öğrenci Örneği: $N = 650$ lisans öğrencisi, giriş seviyesi STEM ve beşeri bilimler derslerine kayıtlıdır. Fakülte Örneği: $N = 45$ üniversite öğretim üyeleri, farklı öğretim deneyimi ve teknolojik öz</w:t>
      </w:r>
      <w:r w:rsidR="0093189F">
        <w:rPr>
          <w:lang w:val="tr-TR"/>
        </w:rPr>
        <w:t xml:space="preserve"> </w:t>
      </w:r>
      <w:r w:rsidRPr="00A21304">
        <w:rPr>
          <w:lang w:val="tr-TR"/>
        </w:rPr>
        <w:t>etkinlik seviyelerini temsil ediyor.4.2 Veri Toplama Araçları Veri toplama 16 haftalık akademik dönem boyunca üç ardışık aşamaya ayrıldı: Nicel Performans Ölçütleri: Kontrol grupları (geleneksel öğretim) ve deneysel gruplar (uyarlanabilir LMS ile teknolojiyle geliştirilmiş öğretim) arasında öğrenme kazanımını ölçmek için müdahale öncesi ve sonrası değerlendirme puanları toplandı platformlar ve gerçek zamanlı geri bildirim araçları). Öğrenci ve Fakülte Anketleri: Dönemin ortasında ve sonunda standartlaştırılmış 5 puanlık Likert ölçeği anketleri uygulandı. Anket, kullanıcı katılımı, algılanan kullanılabilirlik, kendi bildirdiği dijital okuryazarlık ve yapısal erişim sorunlarını (örneğin, ev bağlantısı ve cihaz erişilebilirliği) değerlendirdi. Yarı Yapılandırılmış Mülakatlar: Öğretim üyelerinin (n = 15) ve öğrencilerin (n = 20) temsilci alt kümesiyle derinlemesine 45 dakikalık mülakatlar yapıldı. Bu oturumlar, öğretim direnci, bilişsel yük, kurumsal destek memnuniyeti ve bireysel öğrenme uyumları gibi nitel nüanslara odaklandı.4.3 Veri Analizi Nicel veriler istatistiksel yazılım (SPSS/R) kullanılarak analiz edildi. Kontrol ve deneysel gruplar arasındaki akademik kazanımları karşılaştırmak ve temel akademik başarıyı kontrol etmek için eşleştirilmiş $t$-testleri ve Kovaryans Analizi (ANCOVA) gerçekleştirildi. Anket güvenilirliği, Cronbach alfası kullanılarak belirlendi ($\</w:t>
      </w:r>
      <w:proofErr w:type="spellStart"/>
      <w:r w:rsidRPr="00A21304">
        <w:rPr>
          <w:lang w:val="tr-TR"/>
        </w:rPr>
        <w:t>alpha</w:t>
      </w:r>
      <w:proofErr w:type="spellEnd"/>
      <w:r w:rsidRPr="00A21304">
        <w:rPr>
          <w:lang w:val="tr-TR"/>
        </w:rPr>
        <w:t xml:space="preserve"> &gt; tüm alt ölçeklerde 0.82$). Nitel mülakat </w:t>
      </w:r>
      <w:proofErr w:type="spellStart"/>
      <w:r w:rsidRPr="00A21304">
        <w:rPr>
          <w:lang w:val="tr-TR"/>
        </w:rPr>
        <w:t>tutnakları</w:t>
      </w:r>
      <w:proofErr w:type="spellEnd"/>
      <w:r w:rsidRPr="00A21304">
        <w:rPr>
          <w:lang w:val="tr-TR"/>
        </w:rPr>
        <w:t xml:space="preserve">, </w:t>
      </w:r>
      <w:proofErr w:type="spellStart"/>
      <w:r w:rsidRPr="00A21304">
        <w:rPr>
          <w:lang w:val="tr-TR"/>
        </w:rPr>
        <w:t>Braun</w:t>
      </w:r>
      <w:proofErr w:type="spellEnd"/>
      <w:r w:rsidRPr="00A21304">
        <w:rPr>
          <w:lang w:val="tr-TR"/>
        </w:rPr>
        <w:t xml:space="preserve"> ve Clarke'ın çerçevesine uygun tematik analizlerle transkribe edildi, kodlandı ve analiz edildi. Açık kodlama, pedagojik engeller, teknolojik sürtüşme ve </w:t>
      </w:r>
      <w:r w:rsidRPr="00A21304">
        <w:rPr>
          <w:lang w:val="tr-TR"/>
        </w:rPr>
        <w:lastRenderedPageBreak/>
        <w:t xml:space="preserve">etkileşim faktörleriyle ilgili tekrarlayan temaları belirledi ve bu temalar sonrasında geçerliliği sağlamak için nicel anket sonuçlarıyla </w:t>
      </w:r>
      <w:proofErr w:type="spellStart"/>
      <w:r w:rsidRPr="00A21304">
        <w:rPr>
          <w:lang w:val="tr-TR"/>
        </w:rPr>
        <w:t>üçgenlen</w:t>
      </w:r>
      <w:r w:rsidR="0093189F">
        <w:rPr>
          <w:lang w:val="tr-TR"/>
        </w:rPr>
        <w:t>miştir</w:t>
      </w:r>
      <w:proofErr w:type="spellEnd"/>
      <w:r w:rsidR="0093189F">
        <w:rPr>
          <w:lang w:val="tr-TR"/>
        </w:rPr>
        <w:t>.</w:t>
      </w:r>
    </w:p>
    <w:p w14:paraId="4E28E596" w14:textId="77777777" w:rsidR="00A21304" w:rsidRPr="00A21304" w:rsidRDefault="00A21304" w:rsidP="00DF7086">
      <w:pPr>
        <w:pStyle w:val="dzMetinTimes11"/>
        <w:rPr>
          <w:lang w:val="tr-TR"/>
        </w:rPr>
      </w:pPr>
    </w:p>
    <w:p w14:paraId="153325CD" w14:textId="29CCA181" w:rsidR="00A21304" w:rsidRPr="0093189F" w:rsidRDefault="00A21304" w:rsidP="00A21304">
      <w:pPr>
        <w:pStyle w:val="Balk1"/>
        <w:tabs>
          <w:tab w:val="num" w:pos="720"/>
        </w:tabs>
        <w:rPr>
          <w:lang w:val="tr-TR"/>
        </w:rPr>
      </w:pPr>
      <w:r w:rsidRPr="0093189F">
        <w:rPr>
          <w:lang w:val="tr-TR"/>
        </w:rPr>
        <w:t>Bulgular</w:t>
      </w:r>
    </w:p>
    <w:p w14:paraId="663DD7B4" w14:textId="77777777" w:rsidR="00A21304" w:rsidRPr="00A21304" w:rsidRDefault="00A21304" w:rsidP="00700B3A">
      <w:pPr>
        <w:pStyle w:val="dzMetinTimes11"/>
        <w:rPr>
          <w:lang w:val="tr-TR"/>
        </w:rPr>
      </w:pPr>
      <w:r w:rsidRPr="00A21304">
        <w:rPr>
          <w:lang w:val="tr-TR"/>
        </w:rPr>
        <w:t>Yaklaşık 200 katılımcı ankete yanıt verdi. Sonuçlar, oyunlaştırmanın öğrenci katılımı, motivasyonu ve genel eğitim deneyimi üzerindeki etkisi hakkında genel olarak olumlu geri bildirimler vermektedir. Katılımcılar, oyunlaştırılmış eğitimin çeşitli yönlerine olumlu yanıt verdiler; tüm sorularda ortalama puanlar 5 puanlık ölçekte tutarlı olarak 3.5'in üzerindeydi.</w:t>
      </w:r>
    </w:p>
    <w:p w14:paraId="51BA9955" w14:textId="77777777" w:rsidR="00C34509" w:rsidRPr="00A21304" w:rsidRDefault="00C34509" w:rsidP="00FD0ED9">
      <w:pPr>
        <w:pStyle w:val="dzMetinTimes11"/>
        <w:rPr>
          <w:lang w:val="tr-TR"/>
        </w:rPr>
      </w:pPr>
    </w:p>
    <w:p w14:paraId="4B6A2DA8" w14:textId="6982D039" w:rsidR="00A21304" w:rsidRPr="00A21304" w:rsidRDefault="00A21304" w:rsidP="00BD603A">
      <w:pPr>
        <w:pStyle w:val="TabloFigureSekilResimEtiketi"/>
        <w:rPr>
          <w:lang w:val="tr-TR"/>
        </w:rPr>
      </w:pPr>
      <w:r w:rsidRPr="00A21304">
        <w:t xml:space="preserve">Tablo 1.  </w:t>
      </w:r>
      <w:r w:rsidRPr="00B94195">
        <w:rPr>
          <w:b w:val="0"/>
          <w:bCs/>
        </w:rPr>
        <w:t xml:space="preserve">Örnek Tablo </w:t>
      </w:r>
      <w:proofErr w:type="spellStart"/>
      <w:r w:rsidRPr="00B94195">
        <w:rPr>
          <w:b w:val="0"/>
          <w:bCs/>
        </w:rPr>
        <w:t>Verisi</w:t>
      </w:r>
      <w:proofErr w:type="spellEnd"/>
    </w:p>
    <w:tbl>
      <w:tblPr>
        <w:tblStyle w:val="TabloKlavuzu"/>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439"/>
        <w:gridCol w:w="1657"/>
        <w:gridCol w:w="1462"/>
        <w:gridCol w:w="975"/>
        <w:gridCol w:w="1668"/>
      </w:tblGrid>
      <w:tr w:rsidR="00A21304" w:rsidRPr="00A21304" w14:paraId="540F15F3" w14:textId="77777777" w:rsidTr="006F43E6">
        <w:trPr>
          <w:trHeight w:val="794"/>
        </w:trPr>
        <w:tc>
          <w:tcPr>
            <w:tcW w:w="0" w:type="auto"/>
            <w:tcBorders>
              <w:bottom w:val="single" w:sz="4" w:space="0" w:color="auto"/>
            </w:tcBorders>
            <w:hideMark/>
          </w:tcPr>
          <w:p w14:paraId="43666052" w14:textId="77777777" w:rsidR="00A21304" w:rsidRPr="00A21304" w:rsidRDefault="00A21304" w:rsidP="00BD603A">
            <w:pPr>
              <w:rPr>
                <w:rFonts w:ascii="Times New Roman" w:eastAsia="Times New Roman" w:hAnsi="Times New Roman" w:cs="Times New Roman"/>
                <w:b/>
                <w:bCs/>
                <w:iCs/>
              </w:rPr>
            </w:pPr>
            <w:r w:rsidRPr="00A21304">
              <w:rPr>
                <w:rFonts w:ascii="Times New Roman" w:eastAsia="Times New Roman" w:hAnsi="Times New Roman" w:cs="Times New Roman"/>
                <w:b/>
                <w:bCs/>
                <w:iCs/>
              </w:rPr>
              <w:t>Metrik / Değişken</w:t>
            </w:r>
          </w:p>
        </w:tc>
        <w:tc>
          <w:tcPr>
            <w:tcW w:w="1439" w:type="dxa"/>
            <w:tcBorders>
              <w:bottom w:val="single" w:sz="4" w:space="0" w:color="auto"/>
            </w:tcBorders>
            <w:hideMark/>
          </w:tcPr>
          <w:p w14:paraId="4989FEE8" w14:textId="77777777" w:rsidR="00A21304" w:rsidRPr="00A21304" w:rsidRDefault="00A21304" w:rsidP="00BD603A">
            <w:pPr>
              <w:rPr>
                <w:rFonts w:ascii="Times New Roman" w:eastAsia="Times New Roman" w:hAnsi="Times New Roman" w:cs="Times New Roman"/>
                <w:b/>
                <w:bCs/>
                <w:iCs/>
              </w:rPr>
            </w:pPr>
            <w:r w:rsidRPr="00A21304">
              <w:rPr>
                <w:rFonts w:ascii="Times New Roman" w:eastAsia="Times New Roman" w:hAnsi="Times New Roman" w:cs="Times New Roman"/>
                <w:b/>
                <w:bCs/>
                <w:iCs/>
              </w:rPr>
              <w:t>Kontrol Grubu (n=325)</w:t>
            </w:r>
          </w:p>
        </w:tc>
        <w:tc>
          <w:tcPr>
            <w:tcW w:w="1657" w:type="dxa"/>
            <w:tcBorders>
              <w:bottom w:val="single" w:sz="4" w:space="0" w:color="auto"/>
            </w:tcBorders>
            <w:hideMark/>
          </w:tcPr>
          <w:p w14:paraId="4E04F14F" w14:textId="77777777" w:rsidR="00A21304" w:rsidRPr="00A21304" w:rsidRDefault="00A21304" w:rsidP="00BD603A">
            <w:pPr>
              <w:rPr>
                <w:rFonts w:ascii="Times New Roman" w:eastAsia="Times New Roman" w:hAnsi="Times New Roman" w:cs="Times New Roman"/>
                <w:b/>
                <w:bCs/>
                <w:iCs/>
              </w:rPr>
            </w:pPr>
            <w:r w:rsidRPr="00A21304">
              <w:rPr>
                <w:rFonts w:ascii="Times New Roman" w:eastAsia="Times New Roman" w:hAnsi="Times New Roman" w:cs="Times New Roman"/>
                <w:b/>
                <w:bCs/>
                <w:iCs/>
              </w:rPr>
              <w:t>Deneysel Grup (n=325)</w:t>
            </w:r>
          </w:p>
        </w:tc>
        <w:tc>
          <w:tcPr>
            <w:tcW w:w="1462" w:type="dxa"/>
            <w:tcBorders>
              <w:bottom w:val="single" w:sz="4" w:space="0" w:color="auto"/>
            </w:tcBorders>
            <w:hideMark/>
          </w:tcPr>
          <w:p w14:paraId="2EAA342C" w14:textId="77777777" w:rsidR="00A21304" w:rsidRPr="00A21304" w:rsidRDefault="00A21304" w:rsidP="00BD603A">
            <w:pPr>
              <w:rPr>
                <w:rFonts w:ascii="Times New Roman" w:eastAsia="Times New Roman" w:hAnsi="Times New Roman" w:cs="Times New Roman"/>
                <w:b/>
                <w:bCs/>
                <w:iCs/>
              </w:rPr>
            </w:pPr>
            <w:r w:rsidRPr="00A21304">
              <w:rPr>
                <w:rFonts w:ascii="Times New Roman" w:eastAsia="Times New Roman" w:hAnsi="Times New Roman" w:cs="Times New Roman"/>
                <w:b/>
                <w:bCs/>
                <w:iCs/>
              </w:rPr>
              <w:t>İstatistiksel Test (t / F)</w:t>
            </w:r>
          </w:p>
        </w:tc>
        <w:tc>
          <w:tcPr>
            <w:tcW w:w="975" w:type="dxa"/>
            <w:tcBorders>
              <w:bottom w:val="single" w:sz="4" w:space="0" w:color="auto"/>
            </w:tcBorders>
            <w:hideMark/>
          </w:tcPr>
          <w:p w14:paraId="52A058F8" w14:textId="77777777" w:rsidR="00A21304" w:rsidRPr="00A21304" w:rsidRDefault="00A21304" w:rsidP="00BD603A">
            <w:pPr>
              <w:rPr>
                <w:rFonts w:ascii="Times New Roman" w:eastAsia="Times New Roman" w:hAnsi="Times New Roman" w:cs="Times New Roman"/>
                <w:b/>
                <w:bCs/>
                <w:iCs/>
              </w:rPr>
            </w:pPr>
            <w:r w:rsidRPr="00A21304">
              <w:rPr>
                <w:rFonts w:ascii="Times New Roman" w:eastAsia="Times New Roman" w:hAnsi="Times New Roman" w:cs="Times New Roman"/>
                <w:b/>
                <w:bCs/>
                <w:iCs/>
              </w:rPr>
              <w:t>p-değeri</w:t>
            </w:r>
          </w:p>
        </w:tc>
        <w:tc>
          <w:tcPr>
            <w:tcW w:w="0" w:type="auto"/>
            <w:tcBorders>
              <w:bottom w:val="single" w:sz="4" w:space="0" w:color="auto"/>
            </w:tcBorders>
            <w:hideMark/>
          </w:tcPr>
          <w:p w14:paraId="6C820BE4" w14:textId="77777777" w:rsidR="00A21304" w:rsidRPr="00A21304" w:rsidRDefault="00A21304" w:rsidP="00BD603A">
            <w:pPr>
              <w:rPr>
                <w:rFonts w:ascii="Times New Roman" w:eastAsia="Times New Roman" w:hAnsi="Times New Roman" w:cs="Times New Roman"/>
                <w:b/>
                <w:bCs/>
                <w:iCs/>
              </w:rPr>
            </w:pPr>
            <w:r w:rsidRPr="00A21304">
              <w:rPr>
                <w:rFonts w:ascii="Times New Roman" w:eastAsia="Times New Roman" w:hAnsi="Times New Roman" w:cs="Times New Roman"/>
                <w:b/>
                <w:bCs/>
                <w:iCs/>
              </w:rPr>
              <w:t>Etki Boyutu (Cohen'in d / η2)</w:t>
            </w:r>
          </w:p>
        </w:tc>
      </w:tr>
      <w:tr w:rsidR="00A21304" w:rsidRPr="00A21304" w14:paraId="1FD5B0B3" w14:textId="77777777" w:rsidTr="006F43E6">
        <w:trPr>
          <w:trHeight w:val="794"/>
        </w:trPr>
        <w:tc>
          <w:tcPr>
            <w:tcW w:w="0" w:type="auto"/>
            <w:tcBorders>
              <w:top w:val="single" w:sz="4" w:space="0" w:color="auto"/>
              <w:bottom w:val="single" w:sz="4" w:space="0" w:color="auto"/>
            </w:tcBorders>
            <w:hideMark/>
          </w:tcPr>
          <w:p w14:paraId="61C9E950" w14:textId="77777777" w:rsidR="00A21304" w:rsidRPr="00A21304" w:rsidRDefault="00A21304" w:rsidP="00BD603A">
            <w:pPr>
              <w:rPr>
                <w:rFonts w:ascii="Times New Roman" w:eastAsia="Times New Roman" w:hAnsi="Times New Roman" w:cs="Times New Roman"/>
                <w:iCs/>
              </w:rPr>
            </w:pPr>
            <w:r w:rsidRPr="00A21304">
              <w:rPr>
                <w:rFonts w:ascii="Times New Roman" w:eastAsia="Times New Roman" w:hAnsi="Times New Roman" w:cs="Times New Roman"/>
                <w:iCs/>
              </w:rPr>
              <w:t>Müdahale Öncesi Ortalama Puanı (%)</w:t>
            </w:r>
          </w:p>
        </w:tc>
        <w:tc>
          <w:tcPr>
            <w:tcW w:w="1439" w:type="dxa"/>
            <w:tcBorders>
              <w:top w:val="single" w:sz="4" w:space="0" w:color="auto"/>
              <w:bottom w:val="single" w:sz="4" w:space="0" w:color="auto"/>
            </w:tcBorders>
            <w:hideMark/>
          </w:tcPr>
          <w:p w14:paraId="1A087A55" w14:textId="77777777" w:rsidR="00A21304" w:rsidRPr="00A21304" w:rsidRDefault="00A21304" w:rsidP="00BD603A">
            <w:pPr>
              <w:rPr>
                <w:rFonts w:ascii="Times New Roman" w:eastAsia="Times New Roman" w:hAnsi="Times New Roman" w:cs="Times New Roman"/>
                <w:iCs/>
              </w:rPr>
            </w:pPr>
            <m:oMathPara>
              <m:oMath>
                <m:r>
                  <m:rPr>
                    <m:sty m:val="p"/>
                  </m:rPr>
                  <w:rPr>
                    <w:rFonts w:ascii="Cambria Math" w:eastAsia="Times New Roman" w:hAnsi="Cambria Math" w:cs="Times New Roman"/>
                  </w:rPr>
                  <m:t>64.2±8.1</m:t>
                </m:r>
              </m:oMath>
            </m:oMathPara>
          </w:p>
        </w:tc>
        <w:tc>
          <w:tcPr>
            <w:tcW w:w="1657" w:type="dxa"/>
            <w:tcBorders>
              <w:top w:val="single" w:sz="4" w:space="0" w:color="auto"/>
              <w:bottom w:val="single" w:sz="4" w:space="0" w:color="auto"/>
            </w:tcBorders>
            <w:hideMark/>
          </w:tcPr>
          <w:p w14:paraId="5249C14E" w14:textId="77777777" w:rsidR="00A21304" w:rsidRPr="00A21304" w:rsidRDefault="00A21304" w:rsidP="00BD603A">
            <w:pPr>
              <w:rPr>
                <w:rFonts w:ascii="Times New Roman" w:eastAsia="Times New Roman" w:hAnsi="Times New Roman" w:cs="Times New Roman"/>
                <w:iCs/>
              </w:rPr>
            </w:pPr>
            <m:oMathPara>
              <m:oMath>
                <m:r>
                  <m:rPr>
                    <m:sty m:val="p"/>
                  </m:rPr>
                  <w:rPr>
                    <w:rFonts w:ascii="Cambria Math" w:eastAsia="Times New Roman" w:hAnsi="Cambria Math" w:cs="Times New Roman"/>
                  </w:rPr>
                  <m:t>63.8±8.4</m:t>
                </m:r>
              </m:oMath>
            </m:oMathPara>
          </w:p>
        </w:tc>
        <w:tc>
          <w:tcPr>
            <w:tcW w:w="1462" w:type="dxa"/>
            <w:tcBorders>
              <w:top w:val="single" w:sz="4" w:space="0" w:color="auto"/>
              <w:bottom w:val="single" w:sz="4" w:space="0" w:color="auto"/>
            </w:tcBorders>
            <w:hideMark/>
          </w:tcPr>
          <w:p w14:paraId="7289B08A" w14:textId="77777777" w:rsidR="00A21304" w:rsidRPr="00A21304" w:rsidRDefault="00A21304" w:rsidP="00BD603A">
            <w:pPr>
              <w:rPr>
                <w:rFonts w:ascii="Times New Roman" w:eastAsia="Times New Roman" w:hAnsi="Times New Roman" w:cs="Times New Roman"/>
                <w:iCs/>
              </w:rPr>
            </w:pPr>
            <m:oMathPara>
              <m:oMath>
                <m:r>
                  <m:rPr>
                    <m:sty m:val="p"/>
                  </m:rPr>
                  <w:rPr>
                    <w:rFonts w:ascii="Cambria Math" w:eastAsia="Times New Roman" w:hAnsi="Cambria Math" w:cs="Times New Roman"/>
                  </w:rPr>
                  <m:t>t=0.62</m:t>
                </m:r>
              </m:oMath>
            </m:oMathPara>
          </w:p>
        </w:tc>
        <w:tc>
          <w:tcPr>
            <w:tcW w:w="975" w:type="dxa"/>
            <w:tcBorders>
              <w:top w:val="single" w:sz="4" w:space="0" w:color="auto"/>
              <w:bottom w:val="single" w:sz="4" w:space="0" w:color="auto"/>
            </w:tcBorders>
            <w:hideMark/>
          </w:tcPr>
          <w:p w14:paraId="27468ADB" w14:textId="77777777" w:rsidR="00A21304" w:rsidRPr="00A21304" w:rsidRDefault="00A21304" w:rsidP="00BD603A">
            <w:pPr>
              <w:rPr>
                <w:rFonts w:ascii="Times New Roman" w:eastAsia="Times New Roman" w:hAnsi="Times New Roman" w:cs="Times New Roman"/>
                <w:iCs/>
              </w:rPr>
            </w:pPr>
            <m:oMathPara>
              <m:oMath>
                <m:r>
                  <m:rPr>
                    <m:sty m:val="p"/>
                  </m:rPr>
                  <w:rPr>
                    <w:rFonts w:ascii="Cambria Math" w:eastAsia="Times New Roman" w:hAnsi="Cambria Math" w:cs="Times New Roman"/>
                  </w:rPr>
                  <m:t>0.536</m:t>
                </m:r>
              </m:oMath>
            </m:oMathPara>
          </w:p>
        </w:tc>
        <w:tc>
          <w:tcPr>
            <w:tcW w:w="0" w:type="auto"/>
            <w:tcBorders>
              <w:top w:val="single" w:sz="4" w:space="0" w:color="auto"/>
              <w:bottom w:val="single" w:sz="4" w:space="0" w:color="auto"/>
            </w:tcBorders>
            <w:hideMark/>
          </w:tcPr>
          <w:p w14:paraId="5849BC9D" w14:textId="77777777" w:rsidR="00A21304" w:rsidRPr="00A21304" w:rsidRDefault="00A21304" w:rsidP="00BD603A">
            <w:pPr>
              <w:rPr>
                <w:rFonts w:ascii="Times New Roman" w:eastAsia="Times New Roman" w:hAnsi="Times New Roman" w:cs="Times New Roman"/>
                <w:b/>
                <w:bCs/>
                <w:iCs/>
              </w:rPr>
            </w:pPr>
            <m:oMathPara>
              <m:oMath>
                <m:r>
                  <m:rPr>
                    <m:sty m:val="b"/>
                  </m:rPr>
                  <w:rPr>
                    <w:rFonts w:ascii="Cambria Math" w:eastAsia="Times New Roman" w:hAnsi="Cambria Math" w:cs="Times New Roman"/>
                  </w:rPr>
                  <m:t>d=0.05</m:t>
                </m:r>
              </m:oMath>
            </m:oMathPara>
          </w:p>
        </w:tc>
      </w:tr>
      <w:tr w:rsidR="00A21304" w:rsidRPr="00A21304" w14:paraId="2AF2CEBB" w14:textId="77777777" w:rsidTr="006F43E6">
        <w:trPr>
          <w:trHeight w:val="794"/>
        </w:trPr>
        <w:tc>
          <w:tcPr>
            <w:tcW w:w="0" w:type="auto"/>
            <w:tcBorders>
              <w:top w:val="single" w:sz="4" w:space="0" w:color="auto"/>
              <w:bottom w:val="single" w:sz="4" w:space="0" w:color="auto"/>
            </w:tcBorders>
            <w:hideMark/>
          </w:tcPr>
          <w:p w14:paraId="63E87873" w14:textId="77777777" w:rsidR="00A21304" w:rsidRPr="00A21304" w:rsidRDefault="00A21304" w:rsidP="00BD603A">
            <w:pPr>
              <w:rPr>
                <w:rFonts w:ascii="Times New Roman" w:eastAsia="Times New Roman" w:hAnsi="Times New Roman" w:cs="Times New Roman"/>
                <w:iCs/>
              </w:rPr>
            </w:pPr>
            <w:r w:rsidRPr="00A21304">
              <w:rPr>
                <w:rFonts w:ascii="Times New Roman" w:eastAsia="Times New Roman" w:hAnsi="Times New Roman" w:cs="Times New Roman"/>
                <w:iCs/>
              </w:rPr>
              <w:t>Müdahale Sonrası Ortalama Puan (%)</w:t>
            </w:r>
          </w:p>
        </w:tc>
        <w:tc>
          <w:tcPr>
            <w:tcW w:w="1439" w:type="dxa"/>
            <w:tcBorders>
              <w:top w:val="single" w:sz="4" w:space="0" w:color="auto"/>
              <w:bottom w:val="single" w:sz="4" w:space="0" w:color="auto"/>
            </w:tcBorders>
            <w:hideMark/>
          </w:tcPr>
          <w:p w14:paraId="6861C12C" w14:textId="77777777" w:rsidR="00A21304" w:rsidRPr="00A21304" w:rsidRDefault="00A21304" w:rsidP="00BD603A">
            <w:pPr>
              <w:rPr>
                <w:rFonts w:ascii="Times New Roman" w:eastAsia="Times New Roman" w:hAnsi="Times New Roman" w:cs="Times New Roman"/>
                <w:iCs/>
              </w:rPr>
            </w:pPr>
            <m:oMathPara>
              <m:oMath>
                <m:r>
                  <m:rPr>
                    <m:sty m:val="p"/>
                  </m:rPr>
                  <w:rPr>
                    <w:rFonts w:ascii="Cambria Math" w:eastAsia="Times New Roman" w:hAnsi="Cambria Math" w:cs="Times New Roman"/>
                  </w:rPr>
                  <m:t>71.5±7.6</m:t>
                </m:r>
              </m:oMath>
            </m:oMathPara>
          </w:p>
        </w:tc>
        <w:tc>
          <w:tcPr>
            <w:tcW w:w="1657" w:type="dxa"/>
            <w:tcBorders>
              <w:top w:val="single" w:sz="4" w:space="0" w:color="auto"/>
              <w:bottom w:val="single" w:sz="4" w:space="0" w:color="auto"/>
            </w:tcBorders>
            <w:hideMark/>
          </w:tcPr>
          <w:p w14:paraId="093C9652" w14:textId="77777777" w:rsidR="00A21304" w:rsidRPr="00A21304" w:rsidRDefault="00A21304" w:rsidP="00BD603A">
            <w:pPr>
              <w:rPr>
                <w:rFonts w:ascii="Times New Roman" w:eastAsia="Times New Roman" w:hAnsi="Times New Roman" w:cs="Times New Roman"/>
                <w:iCs/>
              </w:rPr>
            </w:pPr>
            <m:oMathPara>
              <m:oMath>
                <m:r>
                  <m:rPr>
                    <m:sty m:val="p"/>
                  </m:rPr>
                  <w:rPr>
                    <w:rFonts w:ascii="Cambria Math" w:eastAsia="Times New Roman" w:hAnsi="Cambria Math" w:cs="Times New Roman"/>
                  </w:rPr>
                  <m:t>82.4±6.9</m:t>
                </m:r>
              </m:oMath>
            </m:oMathPara>
          </w:p>
        </w:tc>
        <w:tc>
          <w:tcPr>
            <w:tcW w:w="1462" w:type="dxa"/>
            <w:tcBorders>
              <w:top w:val="single" w:sz="4" w:space="0" w:color="auto"/>
              <w:bottom w:val="single" w:sz="4" w:space="0" w:color="auto"/>
            </w:tcBorders>
            <w:hideMark/>
          </w:tcPr>
          <w:p w14:paraId="745F7964" w14:textId="77777777" w:rsidR="00A21304" w:rsidRPr="00A21304" w:rsidRDefault="00A21304" w:rsidP="00BD603A">
            <w:pPr>
              <w:rPr>
                <w:rFonts w:ascii="Times New Roman" w:eastAsia="Times New Roman" w:hAnsi="Times New Roman" w:cs="Times New Roman"/>
                <w:iCs/>
              </w:rPr>
            </w:pPr>
            <m:oMathPara>
              <m:oMath>
                <m:r>
                  <m:rPr>
                    <m:sty m:val="p"/>
                  </m:rPr>
                  <w:rPr>
                    <w:rFonts w:ascii="Cambria Math" w:eastAsia="Times New Roman" w:hAnsi="Cambria Math" w:cs="Times New Roman"/>
                  </w:rPr>
                  <m:t>F=38.42</m:t>
                </m:r>
              </m:oMath>
            </m:oMathPara>
          </w:p>
        </w:tc>
        <w:tc>
          <w:tcPr>
            <w:tcW w:w="975" w:type="dxa"/>
            <w:tcBorders>
              <w:top w:val="single" w:sz="4" w:space="0" w:color="auto"/>
              <w:bottom w:val="single" w:sz="4" w:space="0" w:color="auto"/>
            </w:tcBorders>
            <w:hideMark/>
          </w:tcPr>
          <w:p w14:paraId="0DC0D49D" w14:textId="77777777" w:rsidR="00A21304" w:rsidRPr="00A21304" w:rsidRDefault="00A21304" w:rsidP="00BD603A">
            <w:pPr>
              <w:rPr>
                <w:rFonts w:ascii="Times New Roman" w:eastAsia="Times New Roman" w:hAnsi="Times New Roman" w:cs="Times New Roman"/>
                <w:iCs/>
              </w:rPr>
            </w:pPr>
            <m:oMathPara>
              <m:oMath>
                <m:r>
                  <m:rPr>
                    <m:sty m:val="p"/>
                  </m:rPr>
                  <w:rPr>
                    <w:rFonts w:ascii="Cambria Math" w:eastAsia="Times New Roman" w:hAnsi="Cambria Math" w:cs="Times New Roman"/>
                  </w:rPr>
                  <m:t>&lt;0.001</m:t>
                </m:r>
              </m:oMath>
            </m:oMathPara>
          </w:p>
        </w:tc>
        <w:tc>
          <w:tcPr>
            <w:tcW w:w="0" w:type="auto"/>
            <w:tcBorders>
              <w:top w:val="single" w:sz="4" w:space="0" w:color="auto"/>
              <w:bottom w:val="single" w:sz="4" w:space="0" w:color="auto"/>
            </w:tcBorders>
            <w:hideMark/>
          </w:tcPr>
          <w:p w14:paraId="39A93213" w14:textId="77777777" w:rsidR="00A21304" w:rsidRPr="00A21304" w:rsidRDefault="00000000" w:rsidP="00BD603A">
            <w:pPr>
              <w:rPr>
                <w:rFonts w:ascii="Times New Roman" w:eastAsia="Times New Roman" w:hAnsi="Times New Roman" w:cs="Times New Roman"/>
                <w:b/>
                <w:bCs/>
                <w:iCs/>
              </w:rPr>
            </w:pPr>
            <m:oMathPara>
              <m:oMath>
                <m:sSup>
                  <m:sSupPr>
                    <m:ctrlPr>
                      <w:rPr>
                        <w:rFonts w:ascii="Cambria Math" w:eastAsia="Times New Roman" w:hAnsi="Cambria Math" w:cs="Times New Roman"/>
                        <w:b/>
                        <w:bCs/>
                        <w:iCs/>
                      </w:rPr>
                    </m:ctrlPr>
                  </m:sSupPr>
                  <m:e>
                    <m:r>
                      <m:rPr>
                        <m:sty m:val="b"/>
                      </m:rPr>
                      <w:rPr>
                        <w:rFonts w:ascii="Cambria Math" w:eastAsia="Times New Roman" w:hAnsi="Cambria Math" w:cs="Times New Roman"/>
                      </w:rPr>
                      <m:t>η</m:t>
                    </m:r>
                  </m:e>
                  <m:sup>
                    <m:r>
                      <m:rPr>
                        <m:sty m:val="b"/>
                      </m:rPr>
                      <w:rPr>
                        <w:rFonts w:ascii="Cambria Math" w:eastAsia="Times New Roman" w:hAnsi="Cambria Math" w:cs="Times New Roman"/>
                      </w:rPr>
                      <m:t>2</m:t>
                    </m:r>
                  </m:sup>
                </m:sSup>
                <m:r>
                  <m:rPr>
                    <m:sty m:val="b"/>
                  </m:rPr>
                  <w:rPr>
                    <w:rFonts w:ascii="Cambria Math" w:eastAsia="Times New Roman" w:hAnsi="Cambria Math" w:cs="Times New Roman"/>
                  </w:rPr>
                  <m:t>=0.18</m:t>
                </m:r>
              </m:oMath>
            </m:oMathPara>
          </w:p>
        </w:tc>
      </w:tr>
      <w:tr w:rsidR="00A21304" w:rsidRPr="00A21304" w14:paraId="3C4F4719" w14:textId="77777777" w:rsidTr="006F43E6">
        <w:trPr>
          <w:trHeight w:val="794"/>
        </w:trPr>
        <w:tc>
          <w:tcPr>
            <w:tcW w:w="0" w:type="auto"/>
            <w:tcBorders>
              <w:top w:val="single" w:sz="4" w:space="0" w:color="auto"/>
              <w:bottom w:val="single" w:sz="4" w:space="0" w:color="auto"/>
            </w:tcBorders>
            <w:hideMark/>
          </w:tcPr>
          <w:p w14:paraId="03A3F75B" w14:textId="77777777" w:rsidR="00A21304" w:rsidRPr="00A21304" w:rsidRDefault="00A21304" w:rsidP="00BD603A">
            <w:pPr>
              <w:rPr>
                <w:rFonts w:ascii="Times New Roman" w:eastAsia="Times New Roman" w:hAnsi="Times New Roman" w:cs="Times New Roman"/>
                <w:iCs/>
              </w:rPr>
            </w:pPr>
            <w:r w:rsidRPr="00A21304">
              <w:rPr>
                <w:rFonts w:ascii="Times New Roman" w:eastAsia="Times New Roman" w:hAnsi="Times New Roman" w:cs="Times New Roman"/>
                <w:iCs/>
              </w:rPr>
              <w:t>Materyal Tutma Oranı (4 Haftalık Takip)</w:t>
            </w:r>
          </w:p>
        </w:tc>
        <w:tc>
          <w:tcPr>
            <w:tcW w:w="1439" w:type="dxa"/>
            <w:tcBorders>
              <w:top w:val="single" w:sz="4" w:space="0" w:color="auto"/>
              <w:bottom w:val="single" w:sz="4" w:space="0" w:color="auto"/>
            </w:tcBorders>
            <w:hideMark/>
          </w:tcPr>
          <w:p w14:paraId="44551162" w14:textId="77777777" w:rsidR="00A21304" w:rsidRPr="00A21304" w:rsidRDefault="00A21304" w:rsidP="00BD603A">
            <w:pPr>
              <w:rPr>
                <w:rFonts w:ascii="Times New Roman" w:eastAsia="Times New Roman" w:hAnsi="Times New Roman" w:cs="Times New Roman"/>
                <w:iCs/>
              </w:rPr>
            </w:pPr>
            <m:oMathPara>
              <m:oMath>
                <m:r>
                  <m:rPr>
                    <m:sty m:val="p"/>
                  </m:rPr>
                  <w:rPr>
                    <w:rFonts w:ascii="Cambria Math" w:eastAsia="Times New Roman" w:hAnsi="Cambria Math" w:cs="Times New Roman"/>
                  </w:rPr>
                  <m:t>62.0%</m:t>
                </m:r>
              </m:oMath>
            </m:oMathPara>
          </w:p>
        </w:tc>
        <w:tc>
          <w:tcPr>
            <w:tcW w:w="1657" w:type="dxa"/>
            <w:tcBorders>
              <w:top w:val="single" w:sz="4" w:space="0" w:color="auto"/>
              <w:bottom w:val="single" w:sz="4" w:space="0" w:color="auto"/>
            </w:tcBorders>
            <w:hideMark/>
          </w:tcPr>
          <w:p w14:paraId="0E88C6B4" w14:textId="77777777" w:rsidR="00A21304" w:rsidRPr="00A21304" w:rsidRDefault="00A21304" w:rsidP="00BD603A">
            <w:pPr>
              <w:rPr>
                <w:rFonts w:ascii="Times New Roman" w:eastAsia="Times New Roman" w:hAnsi="Times New Roman" w:cs="Times New Roman"/>
                <w:iCs/>
              </w:rPr>
            </w:pPr>
            <m:oMathPara>
              <m:oMath>
                <m:r>
                  <m:rPr>
                    <m:sty m:val="p"/>
                  </m:rPr>
                  <w:rPr>
                    <w:rFonts w:ascii="Cambria Math" w:eastAsia="Times New Roman" w:hAnsi="Cambria Math" w:cs="Times New Roman"/>
                  </w:rPr>
                  <m:t>76.8%</m:t>
                </m:r>
              </m:oMath>
            </m:oMathPara>
          </w:p>
        </w:tc>
        <w:tc>
          <w:tcPr>
            <w:tcW w:w="1462" w:type="dxa"/>
            <w:tcBorders>
              <w:top w:val="single" w:sz="4" w:space="0" w:color="auto"/>
              <w:bottom w:val="single" w:sz="4" w:space="0" w:color="auto"/>
            </w:tcBorders>
            <w:hideMark/>
          </w:tcPr>
          <w:p w14:paraId="303BA2A9" w14:textId="77777777" w:rsidR="00A21304" w:rsidRPr="00A21304" w:rsidRDefault="00A21304" w:rsidP="00BD603A">
            <w:pPr>
              <w:rPr>
                <w:rFonts w:ascii="Times New Roman" w:eastAsia="Times New Roman" w:hAnsi="Times New Roman" w:cs="Times New Roman"/>
                <w:iCs/>
              </w:rPr>
            </w:pPr>
            <m:oMathPara>
              <m:oMath>
                <m:r>
                  <m:rPr>
                    <m:sty m:val="p"/>
                  </m:rPr>
                  <w:rPr>
                    <w:rFonts w:ascii="Cambria Math" w:eastAsia="Times New Roman" w:hAnsi="Cambria Math" w:cs="Times New Roman"/>
                  </w:rPr>
                  <m:t>t=4.93</m:t>
                </m:r>
              </m:oMath>
            </m:oMathPara>
          </w:p>
        </w:tc>
        <w:tc>
          <w:tcPr>
            <w:tcW w:w="975" w:type="dxa"/>
            <w:tcBorders>
              <w:top w:val="single" w:sz="4" w:space="0" w:color="auto"/>
              <w:bottom w:val="single" w:sz="4" w:space="0" w:color="auto"/>
            </w:tcBorders>
            <w:hideMark/>
          </w:tcPr>
          <w:p w14:paraId="7ADBFADE" w14:textId="77777777" w:rsidR="00A21304" w:rsidRPr="00A21304" w:rsidRDefault="00A21304" w:rsidP="00BD603A">
            <w:pPr>
              <w:rPr>
                <w:rFonts w:ascii="Times New Roman" w:eastAsia="Times New Roman" w:hAnsi="Times New Roman" w:cs="Times New Roman"/>
                <w:iCs/>
              </w:rPr>
            </w:pPr>
          </w:p>
        </w:tc>
        <w:tc>
          <w:tcPr>
            <w:tcW w:w="0" w:type="auto"/>
            <w:tcBorders>
              <w:top w:val="single" w:sz="4" w:space="0" w:color="auto"/>
              <w:bottom w:val="single" w:sz="4" w:space="0" w:color="auto"/>
            </w:tcBorders>
            <w:hideMark/>
          </w:tcPr>
          <w:p w14:paraId="64340FCE" w14:textId="77777777" w:rsidR="00A21304" w:rsidRPr="00A21304" w:rsidRDefault="00A21304" w:rsidP="00BD603A">
            <w:pPr>
              <w:rPr>
                <w:rFonts w:ascii="Times New Roman" w:eastAsia="Times New Roman" w:hAnsi="Times New Roman" w:cs="Times New Roman"/>
                <w:b/>
                <w:bCs/>
                <w:iCs/>
              </w:rPr>
            </w:pPr>
          </w:p>
        </w:tc>
      </w:tr>
    </w:tbl>
    <w:p w14:paraId="772330F8" w14:textId="039037F1" w:rsidR="00A21304" w:rsidRPr="00A21304" w:rsidRDefault="00C34509" w:rsidP="0043536A">
      <w:pPr>
        <w:pStyle w:val="TabloFigureSekilResimEtiketi"/>
        <w:rPr>
          <w:lang w:val="tr-TR"/>
        </w:rPr>
      </w:pPr>
      <w:r w:rsidRPr="00A21304">
        <w:rPr>
          <w:lang w:val="tr-TR"/>
        </w:rPr>
        <w:br/>
      </w:r>
      <w:r w:rsidR="00A21304" w:rsidRPr="00A21304">
        <w:rPr>
          <w:lang w:val="tr-TR"/>
        </w:rPr>
        <w:t xml:space="preserve">Şekil 1. </w:t>
      </w:r>
      <w:r w:rsidR="00A21304" w:rsidRPr="00B94195">
        <w:rPr>
          <w:b w:val="0"/>
          <w:bCs/>
          <w:lang w:val="tr-TR"/>
        </w:rPr>
        <w:t>Örnek Şekil Başlığı</w:t>
      </w:r>
    </w:p>
    <w:p w14:paraId="1C1AA3E4" w14:textId="77777777" w:rsidR="00A21304" w:rsidRDefault="00A21304" w:rsidP="0043536A">
      <w:pPr>
        <w:pStyle w:val="dzMetinTimes11"/>
        <w:jc w:val="center"/>
        <w:rPr>
          <w:lang w:val="tr-TR"/>
        </w:rPr>
      </w:pPr>
      <w:r w:rsidRPr="00A21304">
        <w:rPr>
          <w:noProof/>
          <w:lang w:val="tr-TR"/>
        </w:rPr>
        <w:drawing>
          <wp:inline distT="0" distB="0" distL="0" distR="0" wp14:anchorId="50B6E8C2" wp14:editId="67B65847">
            <wp:extent cx="2764465" cy="2082254"/>
            <wp:effectExtent l="0" t="0" r="0" b="0"/>
            <wp:docPr id="98205764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4178" b="10501"/>
                    <a:stretch>
                      <a:fillRect/>
                    </a:stretch>
                  </pic:blipFill>
                  <pic:spPr bwMode="auto">
                    <a:xfrm>
                      <a:off x="0" y="0"/>
                      <a:ext cx="2767392" cy="2084459"/>
                    </a:xfrm>
                    <a:prstGeom prst="rect">
                      <a:avLst/>
                    </a:prstGeom>
                    <a:noFill/>
                    <a:ln>
                      <a:noFill/>
                    </a:ln>
                    <a:extLst>
                      <a:ext uri="{53640926-AAD7-44D8-BBD7-CCE9431645EC}">
                        <a14:shadowObscured xmlns:a14="http://schemas.microsoft.com/office/drawing/2010/main"/>
                      </a:ext>
                    </a:extLst>
                  </pic:spPr>
                </pic:pic>
              </a:graphicData>
            </a:graphic>
          </wp:inline>
        </w:drawing>
      </w:r>
    </w:p>
    <w:p w14:paraId="3F13805A" w14:textId="77777777" w:rsidR="006F43E6" w:rsidRDefault="006F43E6" w:rsidP="0043536A">
      <w:pPr>
        <w:pStyle w:val="dzMetinTimes11"/>
        <w:jc w:val="center"/>
        <w:rPr>
          <w:lang w:val="tr-TR"/>
        </w:rPr>
      </w:pPr>
    </w:p>
    <w:p w14:paraId="2D558EFD" w14:textId="77777777" w:rsidR="006F43E6" w:rsidRDefault="006F43E6" w:rsidP="0043536A">
      <w:pPr>
        <w:pStyle w:val="dzMetinTimes11"/>
        <w:jc w:val="center"/>
        <w:rPr>
          <w:lang w:val="tr-TR"/>
        </w:rPr>
      </w:pPr>
    </w:p>
    <w:p w14:paraId="47184505" w14:textId="77777777" w:rsidR="006F43E6" w:rsidRPr="00A21304" w:rsidRDefault="006F43E6" w:rsidP="0043536A">
      <w:pPr>
        <w:pStyle w:val="dzMetinTimes11"/>
        <w:jc w:val="center"/>
        <w:rPr>
          <w:lang w:val="tr-TR"/>
        </w:rPr>
      </w:pPr>
    </w:p>
    <w:p w14:paraId="450E16CD" w14:textId="175EB5B8" w:rsidR="00A21304" w:rsidRPr="0093189F" w:rsidRDefault="00A21304" w:rsidP="00A21304">
      <w:pPr>
        <w:pStyle w:val="Balk1"/>
        <w:tabs>
          <w:tab w:val="num" w:pos="720"/>
        </w:tabs>
        <w:rPr>
          <w:lang w:val="tr-TR"/>
        </w:rPr>
      </w:pPr>
      <w:r w:rsidRPr="0093189F">
        <w:rPr>
          <w:lang w:val="tr-TR"/>
        </w:rPr>
        <w:t>Tartışma ve Sonuçlar</w:t>
      </w:r>
    </w:p>
    <w:p w14:paraId="488DA06C" w14:textId="77777777" w:rsidR="00A21304" w:rsidRPr="00A21304" w:rsidRDefault="00A21304" w:rsidP="0043536A">
      <w:pPr>
        <w:pStyle w:val="dzMetinTimes11"/>
        <w:rPr>
          <w:lang w:val="tr-TR"/>
        </w:rPr>
      </w:pPr>
      <w:r w:rsidRPr="00A21304">
        <w:rPr>
          <w:lang w:val="tr-TR"/>
        </w:rPr>
        <w:t xml:space="preserve">Ampirik bulgular, eğitim teknolojisinin </w:t>
      </w:r>
      <w:proofErr w:type="gramStart"/>
      <w:r w:rsidRPr="00A21304">
        <w:rPr>
          <w:lang w:val="tr-TR"/>
        </w:rPr>
        <w:t>entegre edilmesinin</w:t>
      </w:r>
      <w:proofErr w:type="gramEnd"/>
      <w:r w:rsidRPr="00A21304">
        <w:rPr>
          <w:lang w:val="tr-TR"/>
        </w:rPr>
        <w:t xml:space="preserve">, yapılandırılmış öğretim tasarımı ile desteklendiğinde önemli bilişsel ve duygusal kazanımlar sağladığını doğrulamaktadır. Sonuçlarda gösterildiği üzere, uyarlanabilir öğrenme platformlarını kullanan öğrenciler, kontrol grubuna ($71,5\%$) kıyasla müdahale sonrası ortalama puanlarında ($82,4\%$) istatistiksel olarak anlamlı bir artış elde etti; ayrıca kalıcılıkta ve kendi bildirimlerinde belirgin iyileşmeler elde etti. Bu sonuçlar, yapıcı ve bağlayıcı öğrenme teorilerini pekiştirmekte, etkileşimli, gerçek zamanlı geri bildirim döngülerinin öğrencileri bilgi alıcılarından öğrenme süreçlerinde aktif katılımcılara dönüştürdüğünü gösterir. </w:t>
      </w:r>
    </w:p>
    <w:p w14:paraId="7C5022ED" w14:textId="77777777" w:rsidR="00A21304" w:rsidRPr="00A21304" w:rsidRDefault="00A21304" w:rsidP="0043536A">
      <w:pPr>
        <w:pStyle w:val="dzMetinTimes11"/>
        <w:rPr>
          <w:lang w:val="tr-TR"/>
        </w:rPr>
      </w:pPr>
      <w:r w:rsidRPr="00A21304">
        <w:rPr>
          <w:lang w:val="tr-TR"/>
        </w:rPr>
        <w:lastRenderedPageBreak/>
        <w:t>Ancak bulgular, teknolojik etkinlik ile yapısal eşitlik arasındaki kritik bir gerilimi de ortaya koymaktadır. Nitel veriler, dijital bölünme faktörlerinin—özellikle bant genişliği sınırlamaları ve eşit olmayan cihaz erişiminin—düşük kaynaklı ortamlardaki öğrenenleri orantısız şekilde etkilediğini ortaya koydu. Kasıtlı müdahale olmadan, gelişmiş teknolojiler mevcut başarı boşluklarını kapatmak yerine genişletme riski taşır. Ayrıca, belirlenen öğretim üyesi eğitim eksiklikleri, yazılım dağıtımının tek başına pedagojik başarıyı garanti etmediğini vurgular; TPACK gibi çerçeveler aracılığıyla kurumsal uyum hayati olmaya devam ediyor.</w:t>
      </w:r>
    </w:p>
    <w:p w14:paraId="4F038B36" w14:textId="2958DA2E" w:rsidR="00FD0ED9" w:rsidRPr="00A21304" w:rsidRDefault="00FD0ED9" w:rsidP="00FD0ED9">
      <w:pPr>
        <w:pStyle w:val="dzMetinTimes11"/>
        <w:rPr>
          <w:lang w:val="tr-TR"/>
        </w:rPr>
      </w:pPr>
    </w:p>
    <w:p w14:paraId="382B7FC2" w14:textId="7259226C" w:rsidR="00A21304" w:rsidRPr="0093189F" w:rsidRDefault="0093189F" w:rsidP="00A21304">
      <w:pPr>
        <w:pStyle w:val="Balk2"/>
        <w:tabs>
          <w:tab w:val="num" w:pos="1440"/>
        </w:tabs>
        <w:rPr>
          <w:lang w:val="tr-TR"/>
        </w:rPr>
      </w:pPr>
      <w:r w:rsidRPr="0093189F">
        <w:rPr>
          <w:lang w:val="tr-TR"/>
        </w:rPr>
        <w:t>Uygulamaya Yönelik Öneriler</w:t>
      </w:r>
    </w:p>
    <w:p w14:paraId="77D102A6" w14:textId="77777777" w:rsidR="00A21304" w:rsidRPr="00A21304" w:rsidRDefault="00A21304" w:rsidP="004178F9">
      <w:pPr>
        <w:pStyle w:val="dzMetinTimes11"/>
        <w:rPr>
          <w:lang w:val="tr-TR"/>
        </w:rPr>
      </w:pPr>
      <w:r w:rsidRPr="0093189F">
        <w:rPr>
          <w:lang w:val="tr-TR"/>
        </w:rPr>
        <w:t>Bu içgörülere dayanarak, eğitim liderleri, politika yapıcılar ve yazılım geliştiricileri üç ana eylemi değerlendirmelidir:</w:t>
      </w:r>
    </w:p>
    <w:p w14:paraId="285F9DF5" w14:textId="77777777" w:rsidR="00A21304" w:rsidRPr="00A21304" w:rsidRDefault="00A21304" w:rsidP="004178F9">
      <w:pPr>
        <w:pStyle w:val="dzMetinTimes11"/>
        <w:rPr>
          <w:lang w:val="tr-TR"/>
        </w:rPr>
      </w:pPr>
    </w:p>
    <w:p w14:paraId="773B7905" w14:textId="77777777" w:rsidR="00A21304" w:rsidRPr="00A21304" w:rsidRDefault="00A21304" w:rsidP="006F43E6">
      <w:pPr>
        <w:pStyle w:val="dzMetinTimes11"/>
        <w:numPr>
          <w:ilvl w:val="0"/>
          <w:numId w:val="4"/>
        </w:numPr>
        <w:rPr>
          <w:lang w:val="tr-TR"/>
        </w:rPr>
      </w:pPr>
      <w:r w:rsidRPr="0093189F">
        <w:rPr>
          <w:lang w:val="tr-TR"/>
        </w:rPr>
        <w:t>Adil Altyapıya Yatırım Yapın: Yükseköğretim kurumları ve bölgesel politika yapıcılar, erişim açıklarını azaltmak için düşük bant genişliğinde, çevrimdışı yetenekli dijital platformlara ve mobil uyumlu öğrenme arayüzlerine evrensel erişime öncelik vermelidir.</w:t>
      </w:r>
    </w:p>
    <w:p w14:paraId="3F9EBDC9" w14:textId="77777777" w:rsidR="00A21304" w:rsidRPr="00A21304" w:rsidRDefault="00A21304" w:rsidP="004178F9">
      <w:pPr>
        <w:pStyle w:val="dzMetinTimes11"/>
        <w:rPr>
          <w:lang w:val="tr-TR"/>
        </w:rPr>
      </w:pPr>
    </w:p>
    <w:p w14:paraId="47E3A35B" w14:textId="77777777" w:rsidR="00A21304" w:rsidRPr="00A21304" w:rsidRDefault="00A21304" w:rsidP="006F43E6">
      <w:pPr>
        <w:pStyle w:val="dzMetinTimes11"/>
        <w:numPr>
          <w:ilvl w:val="0"/>
          <w:numId w:val="4"/>
        </w:numPr>
        <w:rPr>
          <w:lang w:val="tr-TR"/>
        </w:rPr>
      </w:pPr>
      <w:r w:rsidRPr="0093189F">
        <w:rPr>
          <w:lang w:val="tr-TR"/>
        </w:rPr>
        <w:t>Sürekli TPACK Mesleki Gelişimini Göm: Kurumsal politika, basit yazılım navigasyonu yerine uyarlanabilir öğrenme analitiği üzerine odaklanan sürekli, disipline özgü öğretim üyeleri eğitimini zorunlu kılmalıdır.</w:t>
      </w:r>
    </w:p>
    <w:p w14:paraId="02FEC403" w14:textId="77777777" w:rsidR="00A21304" w:rsidRPr="00A21304" w:rsidRDefault="00A21304" w:rsidP="004178F9">
      <w:pPr>
        <w:pStyle w:val="dzMetinTimes11"/>
        <w:rPr>
          <w:lang w:val="tr-TR"/>
        </w:rPr>
      </w:pPr>
    </w:p>
    <w:p w14:paraId="02B2546D" w14:textId="77777777" w:rsidR="00A21304" w:rsidRPr="00A21304" w:rsidRDefault="00A21304" w:rsidP="006F43E6">
      <w:pPr>
        <w:pStyle w:val="dzMetinTimes11"/>
        <w:numPr>
          <w:ilvl w:val="0"/>
          <w:numId w:val="4"/>
        </w:numPr>
        <w:rPr>
          <w:lang w:val="tr-TR"/>
        </w:rPr>
      </w:pPr>
      <w:r w:rsidRPr="0093189F">
        <w:rPr>
          <w:lang w:val="tr-TR"/>
        </w:rPr>
        <w:t>Veri Gizliliği ve Etik Çerçeveleri Oluşturun: Yapay Zeka odaklı araçlar ana akım haline geldikçe, kurumlar öğrenci verilerinin gizliliğini korumak ve öngörücü analizlerin etik olarak uygulanmasını sağlamak için şeffaf veri yönetişimi protokollerini uygulamalıdır.</w:t>
      </w:r>
    </w:p>
    <w:p w14:paraId="0E5D88F5" w14:textId="77777777" w:rsidR="00A21304" w:rsidRPr="00A21304" w:rsidRDefault="00A21304" w:rsidP="004178F9">
      <w:pPr>
        <w:pStyle w:val="dzMetinTimes11"/>
        <w:rPr>
          <w:lang w:val="tr-TR"/>
        </w:rPr>
      </w:pPr>
    </w:p>
    <w:p w14:paraId="355BE1B0" w14:textId="372939E5" w:rsidR="00A21304" w:rsidRPr="0093189F" w:rsidRDefault="00A21304" w:rsidP="00A21304">
      <w:pPr>
        <w:pStyle w:val="Balk2"/>
        <w:tabs>
          <w:tab w:val="num" w:pos="1440"/>
        </w:tabs>
        <w:rPr>
          <w:lang w:val="tr-TR"/>
        </w:rPr>
      </w:pPr>
      <w:r w:rsidRPr="0093189F">
        <w:rPr>
          <w:lang w:val="tr-TR"/>
        </w:rPr>
        <w:t>Sonu</w:t>
      </w:r>
      <w:r w:rsidR="0093189F" w:rsidRPr="0093189F">
        <w:rPr>
          <w:lang w:val="tr-TR"/>
        </w:rPr>
        <w:t>ç</w:t>
      </w:r>
      <w:r w:rsidRPr="0093189F">
        <w:rPr>
          <w:lang w:val="tr-TR"/>
        </w:rPr>
        <w:t xml:space="preserve"> </w:t>
      </w:r>
    </w:p>
    <w:p w14:paraId="20EDE21E" w14:textId="77777777" w:rsidR="00A21304" w:rsidRPr="00A21304" w:rsidRDefault="00A21304" w:rsidP="004178F9">
      <w:pPr>
        <w:pStyle w:val="dzMetinTimes11"/>
        <w:rPr>
          <w:lang w:val="tr-TR"/>
        </w:rPr>
      </w:pPr>
      <w:r w:rsidRPr="0093189F">
        <w:rPr>
          <w:lang w:val="tr-TR"/>
        </w:rPr>
        <w:t>Bu çalışma, teknoloji entegrasyonunun modern öğrenme ortamları üzerindeki etkisini değerlendirerek, uyarlanabilir platformların ve dijital araçların öğrenci performansını, pedagojik katılımı ve eşitliği nasıl etkilediğini inceledi. Bulgular, eğitim teknolojisinin—sağlam pedagojik ilkelerle düşünceli şekilde hizalandığında—öğrenme sonuçlarını iyileştirmek, kendi kendine yönlendirilmiş çalışmayı teşvik etmek ve çeşitli öğrenci grupları arasında öğretimi kişiselleştirmek için güçlü bir katalizör olarak işlev gördüğünü göstermektedir.</w:t>
      </w:r>
    </w:p>
    <w:p w14:paraId="61085D9B" w14:textId="77777777" w:rsidR="00A21304" w:rsidRPr="00A21304" w:rsidRDefault="00A21304" w:rsidP="004178F9">
      <w:pPr>
        <w:pStyle w:val="dzMetinTimes11"/>
        <w:rPr>
          <w:lang w:val="tr-TR"/>
        </w:rPr>
      </w:pPr>
    </w:p>
    <w:p w14:paraId="18FBF2CE" w14:textId="77777777" w:rsidR="00A21304" w:rsidRPr="00A21304" w:rsidRDefault="00A21304" w:rsidP="004178F9">
      <w:pPr>
        <w:pStyle w:val="dzMetinTimes11"/>
        <w:rPr>
          <w:lang w:val="tr-TR"/>
        </w:rPr>
      </w:pPr>
      <w:r w:rsidRPr="0093189F">
        <w:rPr>
          <w:lang w:val="tr-TR"/>
        </w:rPr>
        <w:t>Aynı zamanda araştırma, teknolojinin kaliteli pedagojiğin bir geliştiricisi olduğunu, insan merkezli eğitimin yerini almıyor olduğunu vurguluyor. Dijital öğrenmenin tam potansiyelini fark etmek, dijital uçurum, bilişsel aşırı yük ve öğretim üyesi eğitim boşlukları gibi kalıcı yapısal engelleri ele almayı gerektirir. Teknolojik yeniliği eşit erişim ve kapsamlı öğretmen desteğiyle dengeleyerek, kurumlar tüm öğrencileri giderek dijitalleşen bir dünyaya hazırlayan dayanıklı, kapsayıcı ve geleceğe hazır eğitim çerçeveleri inşa edebilir.</w:t>
      </w:r>
    </w:p>
    <w:p w14:paraId="3DC5FCC1" w14:textId="77777777" w:rsidR="006A233B" w:rsidRPr="00A21304" w:rsidRDefault="006A233B" w:rsidP="00FD0ED9">
      <w:pPr>
        <w:pStyle w:val="dzMetinTimes11"/>
        <w:rPr>
          <w:lang w:val="tr-TR"/>
        </w:rPr>
      </w:pPr>
    </w:p>
    <w:p w14:paraId="1C30607D" w14:textId="4695524B" w:rsidR="0093189F" w:rsidRPr="00A21304" w:rsidRDefault="0093189F" w:rsidP="006D1F5C">
      <w:pPr>
        <w:pStyle w:val="Balk1"/>
        <w:numPr>
          <w:ilvl w:val="0"/>
          <w:numId w:val="0"/>
        </w:numPr>
        <w:rPr>
          <w:lang w:val="tr-TR"/>
        </w:rPr>
      </w:pPr>
      <w:r>
        <w:rPr>
          <w:lang w:val="tr-TR"/>
        </w:rPr>
        <w:t>Kaynakça</w:t>
      </w:r>
      <w:r w:rsidRPr="0093189F">
        <w:rPr>
          <w:lang w:val="tr-TR"/>
        </w:rPr>
        <w:t xml:space="preserve"> </w:t>
      </w:r>
      <w:r w:rsidRPr="0093189F">
        <w:rPr>
          <w:highlight w:val="yellow"/>
          <w:lang w:val="tr-TR"/>
        </w:rPr>
        <w:t xml:space="preserve">Aşağıdaki </w:t>
      </w:r>
      <w:r>
        <w:rPr>
          <w:highlight w:val="yellow"/>
          <w:lang w:val="tr-TR"/>
        </w:rPr>
        <w:t>kaynakların</w:t>
      </w:r>
      <w:r w:rsidRPr="0093189F">
        <w:rPr>
          <w:highlight w:val="yellow"/>
          <w:lang w:val="tr-TR"/>
        </w:rPr>
        <w:t xml:space="preserve"> tamamı APA-7 tarzındadır</w:t>
      </w:r>
      <w:r>
        <w:rPr>
          <w:highlight w:val="yellow"/>
          <w:lang w:val="tr-TR"/>
        </w:rPr>
        <w:t xml:space="preserve">; </w:t>
      </w:r>
      <w:r w:rsidRPr="0093189F">
        <w:rPr>
          <w:highlight w:val="yellow"/>
          <w:lang w:val="tr-TR"/>
        </w:rPr>
        <w:t>yazarlar için örnek olarak sahte bilgilerle  oluşturulmuştur.</w:t>
      </w:r>
    </w:p>
    <w:p w14:paraId="40C8EBDA" w14:textId="77777777" w:rsidR="0093189F" w:rsidRPr="00A21304" w:rsidRDefault="0093189F" w:rsidP="008E4F0E">
      <w:pPr>
        <w:pStyle w:val="dzMetinReferanslar"/>
        <w:rPr>
          <w:lang w:val="tr-TR"/>
        </w:rPr>
      </w:pPr>
      <w:r w:rsidRPr="00A21304">
        <w:t xml:space="preserve">Deterding, S., Dixon, D., Khaled, R., &amp; Nacke, L. (2011). Oyun </w:t>
      </w:r>
      <w:proofErr w:type="spellStart"/>
      <w:r w:rsidRPr="00A21304">
        <w:t>tasarım</w:t>
      </w:r>
      <w:proofErr w:type="spellEnd"/>
      <w:r w:rsidRPr="00A21304">
        <w:t xml:space="preserve"> </w:t>
      </w:r>
      <w:proofErr w:type="spellStart"/>
      <w:r w:rsidRPr="00A21304">
        <w:t>unsurlarından</w:t>
      </w:r>
      <w:proofErr w:type="spellEnd"/>
      <w:r w:rsidRPr="00A21304">
        <w:t xml:space="preserve"> </w:t>
      </w:r>
      <w:proofErr w:type="spellStart"/>
      <w:r w:rsidRPr="00A21304">
        <w:t>oyunculuğa</w:t>
      </w:r>
      <w:proofErr w:type="spellEnd"/>
      <w:r w:rsidRPr="00A21304">
        <w:t>: "</w:t>
      </w:r>
      <w:proofErr w:type="spellStart"/>
      <w:r w:rsidRPr="00A21304">
        <w:t>oyunlaştırma"nın</w:t>
      </w:r>
      <w:proofErr w:type="spellEnd"/>
      <w:r w:rsidRPr="00A21304">
        <w:t xml:space="preserve"> </w:t>
      </w:r>
      <w:proofErr w:type="spellStart"/>
      <w:r w:rsidRPr="00A21304">
        <w:t>tanımlanması</w:t>
      </w:r>
      <w:proofErr w:type="spellEnd"/>
      <w:r w:rsidRPr="00A21304">
        <w:t xml:space="preserve">. </w:t>
      </w:r>
      <w:r w:rsidRPr="0093189F">
        <w:rPr>
          <w:i/>
          <w:lang w:val="pt-PT"/>
        </w:rPr>
        <w:t>15. Uluslararası Akademik MindTrek Konferansı Bildirileri</w:t>
      </w:r>
      <w:r w:rsidRPr="0093189F">
        <w:rPr>
          <w:lang w:val="pt-PT"/>
        </w:rPr>
        <w:t>. 13, 9-15.</w:t>
      </w:r>
    </w:p>
    <w:p w14:paraId="770CD80B" w14:textId="77777777" w:rsidR="0093189F" w:rsidRPr="00A21304" w:rsidRDefault="0093189F" w:rsidP="008E4F0E">
      <w:pPr>
        <w:pStyle w:val="dzMetinReferanslar"/>
        <w:rPr>
          <w:lang w:val="tr-TR"/>
        </w:rPr>
      </w:pPr>
      <w:r w:rsidRPr="0093189F">
        <w:rPr>
          <w:lang w:val="pt-PT"/>
        </w:rPr>
        <w:t xml:space="preserve">Hamari, J., Koivisto, J., &amp; Sarsa, H. (2014). Oyunlaştırma işe yarıyor mu? Oyunlaştırma üzerine ampirik çalışmaların literatür incelemesi. </w:t>
      </w:r>
      <w:r w:rsidRPr="0093189F">
        <w:rPr>
          <w:i/>
          <w:lang w:val="pt-PT"/>
        </w:rPr>
        <w:t>47. Hawaii Uluslararası Sistem Bilimleri Konferansı Bildirileri</w:t>
      </w:r>
      <w:r w:rsidRPr="0093189F">
        <w:rPr>
          <w:lang w:val="pt-PT"/>
        </w:rPr>
        <w:t>. 6-9 Ocak 2014, 3025-3034</w:t>
      </w:r>
      <w:r w:rsidRPr="0093189F">
        <w:rPr>
          <w:rFonts w:ascii="Verdana" w:eastAsia="Verdana" w:hAnsi="Verdana" w:cs="Verdana"/>
          <w:color w:val="232323"/>
          <w:sz w:val="21"/>
          <w:szCs w:val="21"/>
          <w:highlight w:val="white"/>
          <w:lang w:val="pt-PT"/>
        </w:rPr>
        <w:t>.</w:t>
      </w:r>
    </w:p>
    <w:p w14:paraId="42C913A2" w14:textId="77777777" w:rsidR="0093189F" w:rsidRPr="00A21304" w:rsidRDefault="0093189F" w:rsidP="008E4F0E">
      <w:pPr>
        <w:pStyle w:val="dzMetinReferanslar"/>
        <w:rPr>
          <w:lang w:val="tr-TR"/>
        </w:rPr>
      </w:pPr>
      <w:r w:rsidRPr="0093189F">
        <w:rPr>
          <w:lang w:val="pt-PT"/>
        </w:rPr>
        <w:lastRenderedPageBreak/>
        <w:t xml:space="preserve">Ryan, R. M., &amp; Deci, E. L. (2000). Kendi kaderini tayin etme teorisi ve içsel motivasyon, sosyal gelişim ve iyilik halinin kolaylaştırılması. </w:t>
      </w:r>
      <w:r w:rsidRPr="00A21304">
        <w:rPr>
          <w:i/>
        </w:rPr>
        <w:t>American Psychology</w:t>
      </w:r>
      <w:r w:rsidRPr="00A21304">
        <w:t>. 2000 Ocak; 55(1):68-78.</w:t>
      </w:r>
    </w:p>
    <w:p w14:paraId="37030E96" w14:textId="77777777" w:rsidR="0093189F" w:rsidRPr="00A21304" w:rsidRDefault="0093189F" w:rsidP="008E4F0E">
      <w:pPr>
        <w:pStyle w:val="dzMetinReferanslar"/>
        <w:rPr>
          <w:lang w:val="tr-TR"/>
        </w:rPr>
      </w:pPr>
      <w:r w:rsidRPr="00A21304">
        <w:t xml:space="preserve">Sailer, M., </w:t>
      </w:r>
      <w:proofErr w:type="spellStart"/>
      <w:r w:rsidRPr="00A21304">
        <w:t>Hense</w:t>
      </w:r>
      <w:proofErr w:type="spellEnd"/>
      <w:r w:rsidRPr="00A21304">
        <w:t xml:space="preserve">, J., Mandl, H., &amp; </w:t>
      </w:r>
      <w:proofErr w:type="spellStart"/>
      <w:r w:rsidRPr="00A21304">
        <w:t>Klevers</w:t>
      </w:r>
      <w:proofErr w:type="spellEnd"/>
      <w:r w:rsidRPr="00A21304">
        <w:t xml:space="preserve">, M. (2017). </w:t>
      </w:r>
      <w:proofErr w:type="spellStart"/>
      <w:r w:rsidRPr="00A21304">
        <w:t>Oyunlaştırma</w:t>
      </w:r>
      <w:proofErr w:type="spellEnd"/>
      <w:r w:rsidRPr="00A21304">
        <w:t xml:space="preserve"> </w:t>
      </w:r>
      <w:proofErr w:type="spellStart"/>
      <w:r w:rsidRPr="00A21304">
        <w:t>yoluyla</w:t>
      </w:r>
      <w:proofErr w:type="spellEnd"/>
      <w:r w:rsidRPr="00A21304">
        <w:t xml:space="preserve"> </w:t>
      </w:r>
      <w:proofErr w:type="spellStart"/>
      <w:r w:rsidRPr="00A21304">
        <w:t>motivasyona</w:t>
      </w:r>
      <w:proofErr w:type="spellEnd"/>
      <w:r w:rsidRPr="00A21304">
        <w:t xml:space="preserve"> </w:t>
      </w:r>
      <w:proofErr w:type="spellStart"/>
      <w:r w:rsidRPr="00A21304">
        <w:t>psikolojik</w:t>
      </w:r>
      <w:proofErr w:type="spellEnd"/>
      <w:r w:rsidRPr="00A21304">
        <w:t xml:space="preserve"> </w:t>
      </w:r>
      <w:proofErr w:type="spellStart"/>
      <w:r w:rsidRPr="00A21304">
        <w:t>bakış</w:t>
      </w:r>
      <w:proofErr w:type="spellEnd"/>
      <w:r w:rsidRPr="00A21304">
        <w:t xml:space="preserve"> </w:t>
      </w:r>
      <w:proofErr w:type="spellStart"/>
      <w:r w:rsidRPr="00A21304">
        <w:t>açıları</w:t>
      </w:r>
      <w:proofErr w:type="spellEnd"/>
      <w:r w:rsidRPr="00A21304">
        <w:t xml:space="preserve">. </w:t>
      </w:r>
      <w:proofErr w:type="spellStart"/>
      <w:r w:rsidRPr="00A21304">
        <w:rPr>
          <w:i/>
        </w:rPr>
        <w:t>Psikolojide</w:t>
      </w:r>
      <w:proofErr w:type="spellEnd"/>
      <w:r w:rsidRPr="00A21304">
        <w:rPr>
          <w:i/>
        </w:rPr>
        <w:t xml:space="preserve"> </w:t>
      </w:r>
      <w:proofErr w:type="spellStart"/>
      <w:r w:rsidRPr="00A21304">
        <w:rPr>
          <w:i/>
        </w:rPr>
        <w:t>Sınırlar</w:t>
      </w:r>
      <w:proofErr w:type="spellEnd"/>
      <w:r w:rsidRPr="00A21304">
        <w:t>, 69, 371-380.</w:t>
      </w:r>
    </w:p>
    <w:p w14:paraId="0B535714" w14:textId="77777777" w:rsidR="0093189F" w:rsidRPr="00A21304" w:rsidRDefault="0093189F" w:rsidP="008E4F0E">
      <w:pPr>
        <w:pStyle w:val="dzMetinReferanslar"/>
        <w:rPr>
          <w:lang w:val="tr-TR"/>
        </w:rPr>
      </w:pPr>
      <w:r w:rsidRPr="00A21304">
        <w:t xml:space="preserve">Seaborn, K., &amp; Fels, D. I. (2015). </w:t>
      </w:r>
      <w:proofErr w:type="spellStart"/>
      <w:r w:rsidRPr="00A21304">
        <w:t>Teoride</w:t>
      </w:r>
      <w:proofErr w:type="spellEnd"/>
      <w:r w:rsidRPr="00A21304">
        <w:t xml:space="preserve"> ve </w:t>
      </w:r>
      <w:proofErr w:type="spellStart"/>
      <w:r w:rsidRPr="00A21304">
        <w:t>eylemde</w:t>
      </w:r>
      <w:proofErr w:type="spellEnd"/>
      <w:r w:rsidRPr="00A21304">
        <w:t xml:space="preserve"> </w:t>
      </w:r>
      <w:proofErr w:type="spellStart"/>
      <w:r w:rsidRPr="00A21304">
        <w:t>oyunlaştırma</w:t>
      </w:r>
      <w:proofErr w:type="spellEnd"/>
      <w:r w:rsidRPr="00A21304">
        <w:t xml:space="preserve">: Bir </w:t>
      </w:r>
      <w:proofErr w:type="spellStart"/>
      <w:r w:rsidRPr="00A21304">
        <w:t>anket</w:t>
      </w:r>
      <w:proofErr w:type="spellEnd"/>
      <w:r w:rsidRPr="00A21304">
        <w:t xml:space="preserve">. </w:t>
      </w:r>
      <w:proofErr w:type="spellStart"/>
      <w:r w:rsidRPr="00A21304">
        <w:rPr>
          <w:i/>
        </w:rPr>
        <w:t>Uluslararası</w:t>
      </w:r>
      <w:proofErr w:type="spellEnd"/>
      <w:r w:rsidRPr="00A21304">
        <w:rPr>
          <w:i/>
        </w:rPr>
        <w:t xml:space="preserve"> </w:t>
      </w:r>
      <w:proofErr w:type="spellStart"/>
      <w:r w:rsidRPr="00A21304">
        <w:rPr>
          <w:i/>
        </w:rPr>
        <w:t>İnsan-Bilgisayar</w:t>
      </w:r>
      <w:proofErr w:type="spellEnd"/>
      <w:r w:rsidRPr="00A21304">
        <w:rPr>
          <w:i/>
        </w:rPr>
        <w:t xml:space="preserve"> </w:t>
      </w:r>
      <w:proofErr w:type="spellStart"/>
      <w:r w:rsidRPr="00A21304">
        <w:rPr>
          <w:i/>
        </w:rPr>
        <w:t>Çalışmaları</w:t>
      </w:r>
      <w:proofErr w:type="spellEnd"/>
      <w:r w:rsidRPr="00A21304">
        <w:rPr>
          <w:i/>
        </w:rPr>
        <w:t xml:space="preserve"> </w:t>
      </w:r>
      <w:proofErr w:type="spellStart"/>
      <w:r w:rsidRPr="00A21304">
        <w:rPr>
          <w:i/>
        </w:rPr>
        <w:t>Dergisi</w:t>
      </w:r>
      <w:proofErr w:type="spellEnd"/>
      <w:r w:rsidRPr="00A21304">
        <w:t>, 74, 14-31.</w:t>
      </w:r>
    </w:p>
    <w:p w14:paraId="174051CA" w14:textId="77777777" w:rsidR="0093189F" w:rsidRPr="00A21304" w:rsidRDefault="0093189F" w:rsidP="008E4F0E">
      <w:pPr>
        <w:pStyle w:val="dzMetinReferanslar"/>
        <w:rPr>
          <w:lang w:val="tr-TR"/>
        </w:rPr>
      </w:pPr>
      <w:r w:rsidRPr="00A21304">
        <w:t xml:space="preserve">Zainuddin, Z., </w:t>
      </w:r>
      <w:proofErr w:type="spellStart"/>
      <w:r w:rsidRPr="00A21304">
        <w:t>Shujahat</w:t>
      </w:r>
      <w:proofErr w:type="spellEnd"/>
      <w:r w:rsidRPr="00A21304">
        <w:t xml:space="preserve">, M., Haruna, H., &amp; Chu, S. K. W. (2020). </w:t>
      </w:r>
      <w:proofErr w:type="spellStart"/>
      <w:r w:rsidRPr="00A21304">
        <w:t>Oyunlaştırmanın</w:t>
      </w:r>
      <w:proofErr w:type="spellEnd"/>
      <w:r w:rsidRPr="00A21304">
        <w:t xml:space="preserve"> </w:t>
      </w:r>
      <w:proofErr w:type="spellStart"/>
      <w:r w:rsidRPr="00A21304">
        <w:t>öğrenme</w:t>
      </w:r>
      <w:proofErr w:type="spellEnd"/>
      <w:r w:rsidRPr="00A21304">
        <w:t xml:space="preserve"> </w:t>
      </w:r>
      <w:proofErr w:type="spellStart"/>
      <w:r w:rsidRPr="00A21304">
        <w:t>ve</w:t>
      </w:r>
      <w:proofErr w:type="spellEnd"/>
      <w:r w:rsidRPr="00A21304">
        <w:t xml:space="preserve"> </w:t>
      </w:r>
      <w:proofErr w:type="spellStart"/>
      <w:r w:rsidRPr="00A21304">
        <w:t>öğretim</w:t>
      </w:r>
      <w:proofErr w:type="spellEnd"/>
      <w:r w:rsidRPr="00A21304">
        <w:t xml:space="preserve"> </w:t>
      </w:r>
      <w:proofErr w:type="spellStart"/>
      <w:r w:rsidRPr="00A21304">
        <w:t>üzerindeki</w:t>
      </w:r>
      <w:proofErr w:type="spellEnd"/>
      <w:r w:rsidRPr="00A21304">
        <w:t xml:space="preserve"> </w:t>
      </w:r>
      <w:proofErr w:type="spellStart"/>
      <w:r w:rsidRPr="00A21304">
        <w:t>etkisi</w:t>
      </w:r>
      <w:proofErr w:type="spellEnd"/>
      <w:r w:rsidRPr="00A21304">
        <w:t xml:space="preserve">: </w:t>
      </w:r>
      <w:proofErr w:type="spellStart"/>
      <w:r w:rsidRPr="00A21304">
        <w:t>Ampirik</w:t>
      </w:r>
      <w:proofErr w:type="spellEnd"/>
      <w:r w:rsidRPr="00A21304">
        <w:t xml:space="preserve"> </w:t>
      </w:r>
      <w:proofErr w:type="spellStart"/>
      <w:r w:rsidRPr="00A21304">
        <w:t>kanıtların</w:t>
      </w:r>
      <w:proofErr w:type="spellEnd"/>
      <w:r w:rsidRPr="00A21304">
        <w:t xml:space="preserve"> </w:t>
      </w:r>
      <w:proofErr w:type="spellStart"/>
      <w:r w:rsidRPr="00A21304">
        <w:t>sistematik</w:t>
      </w:r>
      <w:proofErr w:type="spellEnd"/>
      <w:r w:rsidRPr="00A21304">
        <w:t xml:space="preserve"> </w:t>
      </w:r>
      <w:proofErr w:type="spellStart"/>
      <w:r w:rsidRPr="00A21304">
        <w:t>bir</w:t>
      </w:r>
      <w:proofErr w:type="spellEnd"/>
      <w:r w:rsidRPr="00A21304">
        <w:t xml:space="preserve"> </w:t>
      </w:r>
      <w:proofErr w:type="spellStart"/>
      <w:r w:rsidRPr="00A21304">
        <w:t>incelemesi</w:t>
      </w:r>
      <w:proofErr w:type="spellEnd"/>
      <w:r w:rsidRPr="00A21304">
        <w:t xml:space="preserve">. </w:t>
      </w:r>
      <w:proofErr w:type="spellStart"/>
      <w:r w:rsidRPr="00A21304">
        <w:rPr>
          <w:i/>
        </w:rPr>
        <w:t>Eğitim</w:t>
      </w:r>
      <w:proofErr w:type="spellEnd"/>
      <w:r w:rsidRPr="00A21304">
        <w:rPr>
          <w:i/>
        </w:rPr>
        <w:t xml:space="preserve"> </w:t>
      </w:r>
      <w:proofErr w:type="spellStart"/>
      <w:r w:rsidRPr="00A21304">
        <w:rPr>
          <w:i/>
        </w:rPr>
        <w:t>Araştırma</w:t>
      </w:r>
      <w:proofErr w:type="spellEnd"/>
      <w:r w:rsidRPr="00A21304">
        <w:rPr>
          <w:i/>
        </w:rPr>
        <w:t xml:space="preserve"> İncelemesi</w:t>
      </w:r>
      <w:r w:rsidRPr="00A21304">
        <w:t>, 13. 30, 100326.</w:t>
      </w:r>
    </w:p>
    <w:p w14:paraId="0C6CF9F0" w14:textId="77777777" w:rsidR="00146E10" w:rsidRPr="00A21304" w:rsidRDefault="00146E10"/>
    <w:sectPr w:rsidR="00146E10" w:rsidRPr="00A21304" w:rsidSect="00DC386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D43FD" w14:textId="77777777" w:rsidR="0022781F" w:rsidRDefault="0022781F" w:rsidP="00433829">
      <w:pPr>
        <w:spacing w:after="0" w:line="240" w:lineRule="auto"/>
      </w:pPr>
      <w:r>
        <w:separator/>
      </w:r>
    </w:p>
  </w:endnote>
  <w:endnote w:type="continuationSeparator" w:id="0">
    <w:p w14:paraId="32235A6C" w14:textId="77777777" w:rsidR="0022781F" w:rsidRDefault="0022781F" w:rsidP="00433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812835044"/>
      <w:docPartObj>
        <w:docPartGallery w:val="Page Numbers (Bottom of Page)"/>
        <w:docPartUnique/>
      </w:docPartObj>
    </w:sdtPr>
    <w:sdtContent>
      <w:p w14:paraId="45ED9AD9" w14:textId="16D78E7A" w:rsidR="00433829" w:rsidRPr="00433829" w:rsidRDefault="00433829">
        <w:pPr>
          <w:pStyle w:val="AltBilgi"/>
          <w:jc w:val="right"/>
          <w:rPr>
            <w:rFonts w:ascii="Times New Roman" w:hAnsi="Times New Roman" w:cs="Times New Roman"/>
          </w:rPr>
        </w:pPr>
        <w:r w:rsidRPr="00433829">
          <w:rPr>
            <w:rFonts w:ascii="Times New Roman" w:hAnsi="Times New Roman" w:cs="Times New Roman"/>
          </w:rPr>
          <w:fldChar w:fldCharType="begin"/>
        </w:r>
        <w:r w:rsidRPr="00433829">
          <w:rPr>
            <w:rFonts w:ascii="Times New Roman" w:hAnsi="Times New Roman" w:cs="Times New Roman"/>
          </w:rPr>
          <w:instrText>PAGE   \* MERGEFORMAT</w:instrText>
        </w:r>
        <w:r w:rsidRPr="00433829">
          <w:rPr>
            <w:rFonts w:ascii="Times New Roman" w:hAnsi="Times New Roman" w:cs="Times New Roman"/>
          </w:rPr>
          <w:fldChar w:fldCharType="separate"/>
        </w:r>
        <w:r w:rsidRPr="00433829">
          <w:rPr>
            <w:rFonts w:ascii="Times New Roman" w:hAnsi="Times New Roman" w:cs="Times New Roman"/>
          </w:rPr>
          <w:t>2</w:t>
        </w:r>
        <w:r w:rsidRPr="00433829">
          <w:rPr>
            <w:rFonts w:ascii="Times New Roman" w:hAnsi="Times New Roman" w:cs="Times New Roman"/>
          </w:rPr>
          <w:fldChar w:fldCharType="end"/>
        </w:r>
      </w:p>
    </w:sdtContent>
  </w:sdt>
  <w:p w14:paraId="7C6A3303" w14:textId="77777777" w:rsidR="00433829" w:rsidRPr="00433829" w:rsidRDefault="00433829">
    <w:pPr>
      <w:pStyle w:val="AltBilgi"/>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76BBA" w14:textId="77777777" w:rsidR="0022781F" w:rsidRDefault="0022781F" w:rsidP="00433829">
      <w:pPr>
        <w:spacing w:after="0" w:line="240" w:lineRule="auto"/>
      </w:pPr>
      <w:r>
        <w:separator/>
      </w:r>
    </w:p>
  </w:footnote>
  <w:footnote w:type="continuationSeparator" w:id="0">
    <w:p w14:paraId="0803136A" w14:textId="77777777" w:rsidR="0022781F" w:rsidRDefault="0022781F" w:rsidP="004338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D07B9"/>
    <w:multiLevelType w:val="hybridMultilevel"/>
    <w:tmpl w:val="F8624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7F35B1"/>
    <w:multiLevelType w:val="multilevel"/>
    <w:tmpl w:val="4E6866FA"/>
    <w:lvl w:ilvl="0">
      <w:start w:val="1"/>
      <w:numFmt w:val="decimal"/>
      <w:pStyle w:val="Balk1"/>
      <w:lvlText w:val="%1."/>
      <w:lvlJc w:val="left"/>
      <w:pPr>
        <w:ind w:left="360" w:hanging="360"/>
      </w:pPr>
      <w:rPr>
        <w:rFonts w:hint="default"/>
      </w:rPr>
    </w:lvl>
    <w:lvl w:ilvl="1">
      <w:start w:val="1"/>
      <w:numFmt w:val="decimal"/>
      <w:pStyle w:val="Balk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59C7201"/>
    <w:multiLevelType w:val="hybridMultilevel"/>
    <w:tmpl w:val="B4F4A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475F7B"/>
    <w:multiLevelType w:val="hybridMultilevel"/>
    <w:tmpl w:val="59A6AE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18979454">
    <w:abstractNumId w:val="3"/>
  </w:num>
  <w:num w:numId="2" w16cid:durableId="1834832888">
    <w:abstractNumId w:val="1"/>
  </w:num>
  <w:num w:numId="3" w16cid:durableId="654529848">
    <w:abstractNumId w:val="0"/>
  </w:num>
  <w:num w:numId="4" w16cid:durableId="2546775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509"/>
    <w:rsid w:val="000F2E8C"/>
    <w:rsid w:val="00146E10"/>
    <w:rsid w:val="001F3D37"/>
    <w:rsid w:val="0022781F"/>
    <w:rsid w:val="00433829"/>
    <w:rsid w:val="004C0262"/>
    <w:rsid w:val="00550A0F"/>
    <w:rsid w:val="00591FF0"/>
    <w:rsid w:val="006251BF"/>
    <w:rsid w:val="00631E18"/>
    <w:rsid w:val="006A233B"/>
    <w:rsid w:val="006F43E6"/>
    <w:rsid w:val="00725DCF"/>
    <w:rsid w:val="00747DA7"/>
    <w:rsid w:val="00790661"/>
    <w:rsid w:val="0093189F"/>
    <w:rsid w:val="009E62CD"/>
    <w:rsid w:val="00A21304"/>
    <w:rsid w:val="00B45DD8"/>
    <w:rsid w:val="00B54FFC"/>
    <w:rsid w:val="00B94195"/>
    <w:rsid w:val="00C06340"/>
    <w:rsid w:val="00C34509"/>
    <w:rsid w:val="00C94357"/>
    <w:rsid w:val="00DC3867"/>
    <w:rsid w:val="00DE404B"/>
    <w:rsid w:val="00EE7CB4"/>
    <w:rsid w:val="00FC167A"/>
    <w:rsid w:val="00FD0ED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A7AEB"/>
  <w15:chartTrackingRefBased/>
  <w15:docId w15:val="{48176F7F-5575-439A-9622-876EBF2C4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09"/>
    <w:rPr>
      <w:lang w:val="tr-TR"/>
      <w14:ligatures w14:val="none"/>
    </w:rPr>
  </w:style>
  <w:style w:type="paragraph" w:styleId="Balk1">
    <w:name w:val="heading 1"/>
    <w:basedOn w:val="dzMetinTimes11"/>
    <w:next w:val="Normal"/>
    <w:link w:val="Balk1Char"/>
    <w:uiPriority w:val="9"/>
    <w:qFormat/>
    <w:rsid w:val="00FD0ED9"/>
    <w:pPr>
      <w:numPr>
        <w:numId w:val="2"/>
      </w:numPr>
      <w:outlineLvl w:val="0"/>
    </w:pPr>
    <w:rPr>
      <w:b/>
      <w:bCs/>
    </w:rPr>
  </w:style>
  <w:style w:type="paragraph" w:styleId="Balk2">
    <w:name w:val="heading 2"/>
    <w:basedOn w:val="dzMetinTimes11"/>
    <w:next w:val="Normal"/>
    <w:link w:val="Balk2Char"/>
    <w:uiPriority w:val="9"/>
    <w:unhideWhenUsed/>
    <w:qFormat/>
    <w:rsid w:val="00FD0ED9"/>
    <w:pPr>
      <w:numPr>
        <w:ilvl w:val="1"/>
        <w:numId w:val="2"/>
      </w:numPr>
      <w:ind w:left="426"/>
      <w:outlineLvl w:val="1"/>
    </w:pPr>
    <w:rPr>
      <w:b/>
      <w:bCs/>
    </w:rPr>
  </w:style>
  <w:style w:type="paragraph" w:styleId="Balk3">
    <w:name w:val="heading 3"/>
    <w:basedOn w:val="Normal"/>
    <w:next w:val="Normal"/>
    <w:link w:val="Balk3Char"/>
    <w:uiPriority w:val="9"/>
    <w:semiHidden/>
    <w:unhideWhenUsed/>
    <w:qFormat/>
    <w:rsid w:val="00C3450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3450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3450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3450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3450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3450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3450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D0ED9"/>
    <w:rPr>
      <w:rFonts w:ascii="Times New Roman" w:hAnsi="Times New Roman" w:cs="Times New Roman"/>
      <w:b/>
      <w:bCs/>
      <w14:ligatures w14:val="none"/>
    </w:rPr>
  </w:style>
  <w:style w:type="character" w:customStyle="1" w:styleId="Balk2Char">
    <w:name w:val="Başlık 2 Char"/>
    <w:basedOn w:val="VarsaylanParagrafYazTipi"/>
    <w:link w:val="Balk2"/>
    <w:uiPriority w:val="9"/>
    <w:rsid w:val="00FD0ED9"/>
    <w:rPr>
      <w:rFonts w:ascii="Times New Roman" w:hAnsi="Times New Roman" w:cs="Times New Roman"/>
      <w:b/>
      <w:bCs/>
      <w14:ligatures w14:val="none"/>
    </w:rPr>
  </w:style>
  <w:style w:type="character" w:customStyle="1" w:styleId="Balk3Char">
    <w:name w:val="Başlık 3 Char"/>
    <w:basedOn w:val="VarsaylanParagrafYazTipi"/>
    <w:link w:val="Balk3"/>
    <w:uiPriority w:val="9"/>
    <w:semiHidden/>
    <w:rsid w:val="00C3450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3450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3450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3450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3450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3450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34509"/>
    <w:rPr>
      <w:rFonts w:eastAsiaTheme="majorEastAsia" w:cstheme="majorBidi"/>
      <w:color w:val="272727" w:themeColor="text1" w:themeTint="D8"/>
    </w:rPr>
  </w:style>
  <w:style w:type="paragraph" w:styleId="KonuBal">
    <w:name w:val="Title"/>
    <w:basedOn w:val="Normal"/>
    <w:next w:val="Normal"/>
    <w:link w:val="KonuBalChar"/>
    <w:uiPriority w:val="10"/>
    <w:qFormat/>
    <w:rsid w:val="00C345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3450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3450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3450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3450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34509"/>
    <w:rPr>
      <w:i/>
      <w:iCs/>
      <w:color w:val="404040" w:themeColor="text1" w:themeTint="BF"/>
    </w:rPr>
  </w:style>
  <w:style w:type="paragraph" w:styleId="ListeParagraf">
    <w:name w:val="List Paragraph"/>
    <w:basedOn w:val="Normal"/>
    <w:uiPriority w:val="34"/>
    <w:qFormat/>
    <w:rsid w:val="00C34509"/>
    <w:pPr>
      <w:ind w:left="720"/>
      <w:contextualSpacing/>
    </w:pPr>
  </w:style>
  <w:style w:type="character" w:styleId="GlVurgulama">
    <w:name w:val="Intense Emphasis"/>
    <w:basedOn w:val="VarsaylanParagrafYazTipi"/>
    <w:uiPriority w:val="21"/>
    <w:qFormat/>
    <w:rsid w:val="00C34509"/>
    <w:rPr>
      <w:i/>
      <w:iCs/>
      <w:color w:val="0F4761" w:themeColor="accent1" w:themeShade="BF"/>
    </w:rPr>
  </w:style>
  <w:style w:type="paragraph" w:styleId="GlAlnt">
    <w:name w:val="Intense Quote"/>
    <w:basedOn w:val="Normal"/>
    <w:next w:val="Normal"/>
    <w:link w:val="GlAlntChar"/>
    <w:uiPriority w:val="30"/>
    <w:qFormat/>
    <w:rsid w:val="00C345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34509"/>
    <w:rPr>
      <w:i/>
      <w:iCs/>
      <w:color w:val="0F4761" w:themeColor="accent1" w:themeShade="BF"/>
    </w:rPr>
  </w:style>
  <w:style w:type="character" w:styleId="GlBavuru">
    <w:name w:val="Intense Reference"/>
    <w:basedOn w:val="VarsaylanParagrafYazTipi"/>
    <w:uiPriority w:val="32"/>
    <w:qFormat/>
    <w:rsid w:val="00C34509"/>
    <w:rPr>
      <w:b/>
      <w:bCs/>
      <w:smallCaps/>
      <w:color w:val="0F4761" w:themeColor="accent1" w:themeShade="BF"/>
      <w:spacing w:val="5"/>
    </w:rPr>
  </w:style>
  <w:style w:type="paragraph" w:customStyle="1" w:styleId="TamMetinBalk">
    <w:name w:val="Tam Metin Başlık"/>
    <w:basedOn w:val="Normal"/>
    <w:link w:val="TamMetinBalkChar"/>
    <w:autoRedefine/>
    <w:qFormat/>
    <w:rsid w:val="00C34509"/>
    <w:pPr>
      <w:spacing w:after="0" w:line="276" w:lineRule="auto"/>
      <w:jc w:val="center"/>
    </w:pPr>
    <w:rPr>
      <w:rFonts w:ascii="Times New Roman" w:hAnsi="Times New Roman" w:cs="Times New Roman"/>
      <w:b/>
      <w:w w:val="105"/>
      <w:u w:color="000000"/>
      <w:lang w:eastAsia="tr-TR"/>
    </w:rPr>
  </w:style>
  <w:style w:type="character" w:customStyle="1" w:styleId="TamMetinBalkChar">
    <w:name w:val="Tam Metin Başlık Char"/>
    <w:basedOn w:val="VarsaylanParagrafYazTipi"/>
    <w:link w:val="TamMetinBalk"/>
    <w:rsid w:val="00C34509"/>
    <w:rPr>
      <w:rFonts w:ascii="Times New Roman" w:hAnsi="Times New Roman" w:cs="Times New Roman"/>
      <w:b/>
      <w:w w:val="105"/>
      <w:u w:color="000000"/>
      <w:lang w:val="tr-TR" w:eastAsia="tr-TR"/>
      <w14:ligatures w14:val="none"/>
    </w:rPr>
  </w:style>
  <w:style w:type="paragraph" w:customStyle="1" w:styleId="dzMetinTimes11">
    <w:name w:val="düzMetinTimes11"/>
    <w:basedOn w:val="Normal"/>
    <w:link w:val="dzMetinTimes11Char"/>
    <w:qFormat/>
    <w:rsid w:val="00FD0ED9"/>
    <w:pPr>
      <w:spacing w:after="0" w:line="276" w:lineRule="auto"/>
      <w:jc w:val="both"/>
    </w:pPr>
    <w:rPr>
      <w:rFonts w:ascii="Times New Roman" w:hAnsi="Times New Roman" w:cs="Times New Roman"/>
      <w:lang w:val="en-GB"/>
    </w:rPr>
  </w:style>
  <w:style w:type="character" w:customStyle="1" w:styleId="dzMetinTimes11Char">
    <w:name w:val="düzMetinTimes11 Char"/>
    <w:basedOn w:val="VarsaylanParagrafYazTipi"/>
    <w:link w:val="dzMetinTimes11"/>
    <w:rsid w:val="00FD0ED9"/>
    <w:rPr>
      <w:rFonts w:ascii="Times New Roman" w:hAnsi="Times New Roman" w:cs="Times New Roman"/>
      <w14:ligatures w14:val="none"/>
    </w:rPr>
  </w:style>
  <w:style w:type="paragraph" w:customStyle="1" w:styleId="dzMetinReferanslar">
    <w:name w:val="düzMetinReferanslar"/>
    <w:basedOn w:val="dzMetinTimes11"/>
    <w:link w:val="dzMetinReferanslarChar"/>
    <w:qFormat/>
    <w:rsid w:val="00C34509"/>
    <w:pPr>
      <w:ind w:left="567" w:hanging="567"/>
      <w:jc w:val="left"/>
    </w:pPr>
    <w:rPr>
      <w:lang w:eastAsia="tr-TR"/>
    </w:rPr>
  </w:style>
  <w:style w:type="character" w:customStyle="1" w:styleId="dzMetinReferanslarChar">
    <w:name w:val="düzMetinReferanslar Char"/>
    <w:basedOn w:val="dzMetinTimes11Char"/>
    <w:link w:val="dzMetinReferanslar"/>
    <w:rsid w:val="00C34509"/>
    <w:rPr>
      <w:rFonts w:ascii="Times New Roman" w:hAnsi="Times New Roman" w:cs="Times New Roman"/>
      <w:lang w:eastAsia="tr-TR"/>
      <w14:ligatures w14:val="none"/>
    </w:rPr>
  </w:style>
  <w:style w:type="table" w:styleId="TabloKlavuzu">
    <w:name w:val="Table Grid"/>
    <w:basedOn w:val="NormalTablo"/>
    <w:uiPriority w:val="39"/>
    <w:rsid w:val="00631E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aBaslik">
    <w:name w:val="Ana Baslik"/>
    <w:basedOn w:val="TamMetinBalk"/>
    <w:link w:val="AnaBaslikChar"/>
    <w:qFormat/>
    <w:rsid w:val="00FD0ED9"/>
    <w:rPr>
      <w:lang w:val="en-GB"/>
    </w:rPr>
  </w:style>
  <w:style w:type="character" w:customStyle="1" w:styleId="AnaBaslikChar">
    <w:name w:val="Ana Baslik Char"/>
    <w:basedOn w:val="TamMetinBalkChar"/>
    <w:link w:val="AnaBaslik"/>
    <w:rsid w:val="00FD0ED9"/>
    <w:rPr>
      <w:rFonts w:ascii="Times New Roman" w:hAnsi="Times New Roman" w:cs="Times New Roman"/>
      <w:b/>
      <w:w w:val="105"/>
      <w:u w:color="000000"/>
      <w:lang w:val="tr-TR" w:eastAsia="tr-TR"/>
      <w14:ligatures w14:val="none"/>
    </w:rPr>
  </w:style>
  <w:style w:type="paragraph" w:customStyle="1" w:styleId="TabloFigureSekilResimEtiketi">
    <w:name w:val="Tablo Figure Sekil Resim Etiketi"/>
    <w:basedOn w:val="Normal"/>
    <w:link w:val="TabloFigureSekilResimEtiketiChar"/>
    <w:qFormat/>
    <w:rsid w:val="00747DA7"/>
    <w:pPr>
      <w:spacing w:line="276" w:lineRule="auto"/>
    </w:pPr>
    <w:rPr>
      <w:rFonts w:ascii="Times New Roman" w:eastAsia="Times New Roman" w:hAnsi="Times New Roman" w:cs="Times New Roman"/>
      <w:b/>
      <w:i/>
      <w:iCs/>
      <w:lang w:val="en-GB"/>
    </w:rPr>
  </w:style>
  <w:style w:type="character" w:customStyle="1" w:styleId="TabloFigureSekilResimEtiketiChar">
    <w:name w:val="Tablo Figure Sekil Resim Etiketi Char"/>
    <w:basedOn w:val="VarsaylanParagrafYazTipi"/>
    <w:link w:val="TabloFigureSekilResimEtiketi"/>
    <w:rsid w:val="00747DA7"/>
    <w:rPr>
      <w:rFonts w:ascii="Times New Roman" w:eastAsia="Times New Roman" w:hAnsi="Times New Roman" w:cs="Times New Roman"/>
      <w:b/>
      <w:i/>
      <w:iCs/>
      <w14:ligatures w14:val="none"/>
    </w:rPr>
  </w:style>
  <w:style w:type="paragraph" w:styleId="stBilgi">
    <w:name w:val="header"/>
    <w:basedOn w:val="Normal"/>
    <w:link w:val="stBilgiChar"/>
    <w:uiPriority w:val="99"/>
    <w:unhideWhenUsed/>
    <w:rsid w:val="0043382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33829"/>
    <w:rPr>
      <w:lang w:val="tr-TR"/>
      <w14:ligatures w14:val="none"/>
    </w:rPr>
  </w:style>
  <w:style w:type="paragraph" w:styleId="AltBilgi">
    <w:name w:val="footer"/>
    <w:basedOn w:val="Normal"/>
    <w:link w:val="AltBilgiChar"/>
    <w:uiPriority w:val="99"/>
    <w:unhideWhenUsed/>
    <w:rsid w:val="0043382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33829"/>
    <w:rPr>
      <w:lang w:val="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2452</Words>
  <Characters>13983</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 Ersoy</dc:creator>
  <cp:keywords/>
  <dc:description/>
  <cp:lastModifiedBy>Halil Ersoy</cp:lastModifiedBy>
  <cp:revision>5</cp:revision>
  <dcterms:created xsi:type="dcterms:W3CDTF">2026-08-10T10:37:00Z</dcterms:created>
  <dcterms:modified xsi:type="dcterms:W3CDTF">2026-08-12T07:24:00Z</dcterms:modified>
</cp:coreProperties>
</file>